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color w:val="auto"/>
          <w:kern w:val="0"/>
          <w:sz w:val="36"/>
          <w:szCs w:val="36"/>
          <w:lang w:eastAsia="zh-CN"/>
        </w:rPr>
      </w:pPr>
    </w:p>
    <w:p>
      <w:pPr>
        <w:keepNext w:val="0"/>
        <w:keepLines w:val="0"/>
        <w:pageBreakBefore w:val="0"/>
        <w:widowControl/>
        <w:shd w:val="clear" w:color="auto" w:fill="FFFFFF"/>
        <w:kinsoku/>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kern w:val="0"/>
          <w:sz w:val="36"/>
          <w:szCs w:val="36"/>
          <w:lang w:eastAsia="zh-CN"/>
        </w:rPr>
      </w:pPr>
      <w:r>
        <w:rPr>
          <w:rFonts w:hint="eastAsia" w:ascii="方正小标宋简体" w:hAnsi="方正小标宋简体" w:eastAsia="方正小标宋简体" w:cs="方正小标宋简体"/>
          <w:color w:val="auto"/>
          <w:kern w:val="0"/>
          <w:sz w:val="36"/>
          <w:szCs w:val="36"/>
          <w:lang w:eastAsia="zh-CN"/>
        </w:rPr>
        <w:t>目</w:t>
      </w:r>
      <w:r>
        <w:rPr>
          <w:rFonts w:hint="eastAsia" w:ascii="方正小标宋简体" w:hAnsi="方正小标宋简体" w:eastAsia="方正小标宋简体" w:cs="方正小标宋简体"/>
          <w:color w:val="auto"/>
          <w:kern w:val="0"/>
          <w:sz w:val="36"/>
          <w:szCs w:val="36"/>
          <w:lang w:val="en-US" w:eastAsia="zh-CN"/>
        </w:rPr>
        <w:t xml:space="preserve">   </w:t>
      </w:r>
      <w:r>
        <w:rPr>
          <w:rFonts w:hint="eastAsia" w:ascii="方正小标宋简体" w:hAnsi="方正小标宋简体" w:eastAsia="方正小标宋简体" w:cs="方正小标宋简体"/>
          <w:color w:val="auto"/>
          <w:kern w:val="0"/>
          <w:sz w:val="36"/>
          <w:szCs w:val="36"/>
          <w:lang w:eastAsia="zh-CN"/>
        </w:rPr>
        <w:t>录</w:t>
      </w:r>
    </w:p>
    <w:p>
      <w:pPr>
        <w:keepNext w:val="0"/>
        <w:keepLines w:val="0"/>
        <w:pageBreakBefore w:val="0"/>
        <w:widowControl/>
        <w:shd w:val="clear" w:color="auto" w:fill="FFFFFF"/>
        <w:kinsoku/>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color w:val="auto"/>
          <w:kern w:val="0"/>
          <w:sz w:val="24"/>
          <w:szCs w:val="24"/>
          <w:lang w:eastAsia="zh-CN"/>
        </w:rPr>
      </w:pPr>
    </w:p>
    <w:p>
      <w:pPr>
        <w:pStyle w:val="4"/>
        <w:tabs>
          <w:tab w:val="right" w:leader="dot" w:pos="5558"/>
        </w:tabs>
        <w:spacing w:line="480" w:lineRule="auto"/>
        <w:rPr>
          <w:rFonts w:hint="eastAsia" w:ascii="方正宋三简体" w:hAnsi="方正宋三简体" w:eastAsia="方正宋三简体" w:cs="方正宋三简体"/>
        </w:rPr>
      </w:pPr>
      <w:r>
        <w:rPr>
          <w:rFonts w:hint="eastAsia" w:ascii="方正宋三简体" w:hAnsi="方正宋三简体" w:eastAsia="方正宋三简体" w:cs="方正宋三简体"/>
          <w:color w:val="auto"/>
          <w:kern w:val="0"/>
          <w:sz w:val="24"/>
          <w:szCs w:val="24"/>
          <w:lang w:val="en-US" w:eastAsia="zh-CN"/>
        </w:rPr>
        <w:t>1、</w:t>
      </w:r>
      <w:r>
        <w:rPr>
          <w:rFonts w:hint="eastAsia" w:ascii="方正宋三简体" w:hAnsi="方正宋三简体" w:eastAsia="方正宋三简体" w:cs="方正宋三简体"/>
          <w:color w:val="auto"/>
          <w:kern w:val="0"/>
          <w:sz w:val="24"/>
          <w:szCs w:val="24"/>
          <w:lang w:eastAsia="zh-CN"/>
        </w:rPr>
        <w:fldChar w:fldCharType="begin"/>
      </w:r>
      <w:r>
        <w:rPr>
          <w:rFonts w:hint="eastAsia" w:ascii="方正宋三简体" w:hAnsi="方正宋三简体" w:eastAsia="方正宋三简体" w:cs="方正宋三简体"/>
          <w:color w:val="auto"/>
          <w:kern w:val="0"/>
          <w:sz w:val="24"/>
          <w:szCs w:val="24"/>
          <w:lang w:eastAsia="zh-CN"/>
        </w:rPr>
        <w:instrText xml:space="preserve">TOC \o "1-1" \h \u </w:instrText>
      </w:r>
      <w:r>
        <w:rPr>
          <w:rFonts w:hint="eastAsia" w:ascii="方正宋三简体" w:hAnsi="方正宋三简体" w:eastAsia="方正宋三简体" w:cs="方正宋三简体"/>
          <w:color w:val="auto"/>
          <w:kern w:val="0"/>
          <w:sz w:val="24"/>
          <w:szCs w:val="24"/>
          <w:lang w:eastAsia="zh-CN"/>
        </w:rPr>
        <w:fldChar w:fldCharType="separate"/>
      </w:r>
      <w:r>
        <w:rPr>
          <w:rFonts w:hint="eastAsia" w:ascii="方正宋三简体" w:hAnsi="方正宋三简体" w:eastAsia="方正宋三简体" w:cs="方正宋三简体"/>
          <w:color w:val="auto"/>
          <w:kern w:val="0"/>
          <w:szCs w:val="24"/>
          <w:lang w:eastAsia="zh-CN"/>
        </w:rPr>
        <w:fldChar w:fldCharType="begin"/>
      </w:r>
      <w:r>
        <w:rPr>
          <w:rFonts w:hint="eastAsia" w:ascii="方正宋三简体" w:hAnsi="方正宋三简体" w:eastAsia="方正宋三简体" w:cs="方正宋三简体"/>
          <w:kern w:val="0"/>
          <w:szCs w:val="24"/>
          <w:lang w:eastAsia="zh-CN"/>
        </w:rPr>
        <w:instrText xml:space="preserve"> HYPERLINK \l _Toc6605 </w:instrText>
      </w:r>
      <w:r>
        <w:rPr>
          <w:rFonts w:hint="eastAsia" w:ascii="方正宋三简体" w:hAnsi="方正宋三简体" w:eastAsia="方正宋三简体" w:cs="方正宋三简体"/>
          <w:kern w:val="0"/>
          <w:szCs w:val="24"/>
          <w:lang w:eastAsia="zh-CN"/>
        </w:rPr>
        <w:fldChar w:fldCharType="separate"/>
      </w:r>
      <w:r>
        <w:rPr>
          <w:rFonts w:hint="eastAsia" w:ascii="方正宋三简体" w:hAnsi="方正宋三简体" w:eastAsia="方正宋三简体" w:cs="方正宋三简体"/>
          <w:bCs/>
          <w:szCs w:val="32"/>
        </w:rPr>
        <w:t>国家职业教育改革实施方案</w:t>
      </w:r>
      <w:r>
        <w:rPr>
          <w:rFonts w:hint="eastAsia" w:ascii="方正宋三简体" w:hAnsi="方正宋三简体" w:eastAsia="方正宋三简体" w:cs="方正宋三简体"/>
        </w:rPr>
        <w:tab/>
      </w:r>
      <w:r>
        <w:rPr>
          <w:rFonts w:hint="eastAsia" w:ascii="方正宋三简体" w:hAnsi="方正宋三简体" w:eastAsia="方正宋三简体" w:cs="方正宋三简体"/>
        </w:rPr>
        <w:fldChar w:fldCharType="begin"/>
      </w:r>
      <w:r>
        <w:rPr>
          <w:rFonts w:hint="eastAsia" w:ascii="方正宋三简体" w:hAnsi="方正宋三简体" w:eastAsia="方正宋三简体" w:cs="方正宋三简体"/>
        </w:rPr>
        <w:instrText xml:space="preserve"> PAGEREF _Toc6605 </w:instrText>
      </w:r>
      <w:r>
        <w:rPr>
          <w:rFonts w:hint="eastAsia" w:ascii="方正宋三简体" w:hAnsi="方正宋三简体" w:eastAsia="方正宋三简体" w:cs="方正宋三简体"/>
        </w:rPr>
        <w:fldChar w:fldCharType="separate"/>
      </w:r>
      <w:r>
        <w:rPr>
          <w:rFonts w:hint="eastAsia" w:ascii="方正宋三简体" w:hAnsi="方正宋三简体" w:eastAsia="方正宋三简体" w:cs="方正宋三简体"/>
        </w:rPr>
        <w:t>- 2 -</w:t>
      </w:r>
      <w:r>
        <w:rPr>
          <w:rFonts w:hint="eastAsia" w:ascii="方正宋三简体" w:hAnsi="方正宋三简体" w:eastAsia="方正宋三简体" w:cs="方正宋三简体"/>
        </w:rPr>
        <w:fldChar w:fldCharType="end"/>
      </w:r>
      <w:r>
        <w:rPr>
          <w:rFonts w:hint="eastAsia" w:ascii="方正宋三简体" w:hAnsi="方正宋三简体" w:eastAsia="方正宋三简体" w:cs="方正宋三简体"/>
          <w:color w:val="auto"/>
          <w:kern w:val="0"/>
          <w:szCs w:val="24"/>
          <w:lang w:eastAsia="zh-CN"/>
        </w:rPr>
        <w:fldChar w:fldCharType="end"/>
      </w:r>
    </w:p>
    <w:p>
      <w:pPr>
        <w:pStyle w:val="4"/>
        <w:tabs>
          <w:tab w:val="right" w:leader="dot" w:pos="5558"/>
        </w:tabs>
        <w:spacing w:line="480" w:lineRule="auto"/>
        <w:rPr>
          <w:rFonts w:hint="eastAsia" w:ascii="方正宋三简体" w:hAnsi="方正宋三简体" w:eastAsia="方正宋三简体" w:cs="方正宋三简体"/>
        </w:rPr>
      </w:pPr>
      <w:r>
        <w:rPr>
          <w:rFonts w:hint="eastAsia" w:ascii="方正宋三简体" w:hAnsi="方正宋三简体" w:eastAsia="方正宋三简体" w:cs="方正宋三简体"/>
          <w:color w:val="auto"/>
          <w:kern w:val="0"/>
          <w:szCs w:val="24"/>
          <w:lang w:val="en-US" w:eastAsia="zh-CN"/>
        </w:rPr>
        <w:t>2、</w:t>
      </w:r>
      <w:r>
        <w:rPr>
          <w:rFonts w:hint="eastAsia" w:ascii="方正宋三简体" w:hAnsi="方正宋三简体" w:eastAsia="方正宋三简体" w:cs="方正宋三简体"/>
          <w:color w:val="auto"/>
          <w:kern w:val="0"/>
          <w:szCs w:val="24"/>
          <w:lang w:eastAsia="zh-CN"/>
        </w:rPr>
        <w:fldChar w:fldCharType="begin"/>
      </w:r>
      <w:r>
        <w:rPr>
          <w:rFonts w:hint="eastAsia" w:ascii="方正宋三简体" w:hAnsi="方正宋三简体" w:eastAsia="方正宋三简体" w:cs="方正宋三简体"/>
          <w:kern w:val="0"/>
          <w:szCs w:val="24"/>
          <w:lang w:eastAsia="zh-CN"/>
        </w:rPr>
        <w:instrText xml:space="preserve"> HYPERLINK \l _Toc20117 </w:instrText>
      </w:r>
      <w:r>
        <w:rPr>
          <w:rFonts w:hint="eastAsia" w:ascii="方正宋三简体" w:hAnsi="方正宋三简体" w:eastAsia="方正宋三简体" w:cs="方正宋三简体"/>
          <w:kern w:val="0"/>
          <w:szCs w:val="24"/>
          <w:lang w:eastAsia="zh-CN"/>
        </w:rPr>
        <w:fldChar w:fldCharType="separate"/>
      </w:r>
      <w:r>
        <w:rPr>
          <w:rFonts w:hint="eastAsia" w:ascii="方正宋三简体" w:hAnsi="方正宋三简体" w:eastAsia="方正宋三简体" w:cs="方正宋三简体"/>
          <w:bCs w:val="0"/>
          <w:szCs w:val="36"/>
        </w:rPr>
        <w:t>新时代高校教师职业行为十项准则</w:t>
      </w:r>
      <w:r>
        <w:rPr>
          <w:rFonts w:hint="eastAsia" w:ascii="方正宋三简体" w:hAnsi="方正宋三简体" w:eastAsia="方正宋三简体" w:cs="方正宋三简体"/>
        </w:rPr>
        <w:tab/>
      </w:r>
      <w:r>
        <w:rPr>
          <w:rFonts w:hint="eastAsia" w:ascii="方正宋三简体" w:hAnsi="方正宋三简体" w:eastAsia="方正宋三简体" w:cs="方正宋三简体"/>
        </w:rPr>
        <w:fldChar w:fldCharType="begin"/>
      </w:r>
      <w:r>
        <w:rPr>
          <w:rFonts w:hint="eastAsia" w:ascii="方正宋三简体" w:hAnsi="方正宋三简体" w:eastAsia="方正宋三简体" w:cs="方正宋三简体"/>
        </w:rPr>
        <w:instrText xml:space="preserve"> PAGEREF _Toc20117 </w:instrText>
      </w:r>
      <w:r>
        <w:rPr>
          <w:rFonts w:hint="eastAsia" w:ascii="方正宋三简体" w:hAnsi="方正宋三简体" w:eastAsia="方正宋三简体" w:cs="方正宋三简体"/>
        </w:rPr>
        <w:fldChar w:fldCharType="separate"/>
      </w:r>
      <w:r>
        <w:rPr>
          <w:rFonts w:hint="eastAsia" w:ascii="方正宋三简体" w:hAnsi="方正宋三简体" w:eastAsia="方正宋三简体" w:cs="方正宋三简体"/>
        </w:rPr>
        <w:t>- 23 -</w:t>
      </w:r>
      <w:r>
        <w:rPr>
          <w:rFonts w:hint="eastAsia" w:ascii="方正宋三简体" w:hAnsi="方正宋三简体" w:eastAsia="方正宋三简体" w:cs="方正宋三简体"/>
        </w:rPr>
        <w:fldChar w:fldCharType="end"/>
      </w:r>
      <w:r>
        <w:rPr>
          <w:rFonts w:hint="eastAsia" w:ascii="方正宋三简体" w:hAnsi="方正宋三简体" w:eastAsia="方正宋三简体" w:cs="方正宋三简体"/>
          <w:color w:val="auto"/>
          <w:kern w:val="0"/>
          <w:szCs w:val="24"/>
          <w:lang w:eastAsia="zh-CN"/>
        </w:rPr>
        <w:fldChar w:fldCharType="end"/>
      </w:r>
    </w:p>
    <w:p>
      <w:pPr>
        <w:pStyle w:val="4"/>
        <w:tabs>
          <w:tab w:val="right" w:leader="dot" w:pos="5558"/>
        </w:tabs>
        <w:spacing w:line="480" w:lineRule="auto"/>
        <w:rPr>
          <w:rFonts w:hint="eastAsia" w:ascii="方正宋三简体" w:hAnsi="方正宋三简体" w:eastAsia="方正宋三简体" w:cs="方正宋三简体"/>
        </w:rPr>
      </w:pPr>
      <w:r>
        <w:rPr>
          <w:rFonts w:hint="eastAsia" w:ascii="方正宋三简体" w:hAnsi="方正宋三简体" w:eastAsia="方正宋三简体" w:cs="方正宋三简体"/>
          <w:color w:val="auto"/>
          <w:kern w:val="0"/>
          <w:szCs w:val="24"/>
          <w:lang w:val="en-US" w:eastAsia="zh-CN"/>
        </w:rPr>
        <w:t>3、</w:t>
      </w:r>
      <w:r>
        <w:rPr>
          <w:rFonts w:hint="eastAsia" w:ascii="方正宋三简体" w:hAnsi="方正宋三简体" w:eastAsia="方正宋三简体" w:cs="方正宋三简体"/>
          <w:color w:val="auto"/>
          <w:kern w:val="0"/>
          <w:szCs w:val="24"/>
          <w:lang w:eastAsia="zh-CN"/>
        </w:rPr>
        <w:fldChar w:fldCharType="begin"/>
      </w:r>
      <w:r>
        <w:rPr>
          <w:rFonts w:hint="eastAsia" w:ascii="方正宋三简体" w:hAnsi="方正宋三简体" w:eastAsia="方正宋三简体" w:cs="方正宋三简体"/>
          <w:kern w:val="0"/>
          <w:szCs w:val="24"/>
          <w:lang w:eastAsia="zh-CN"/>
        </w:rPr>
        <w:instrText xml:space="preserve"> HYPERLINK \l _Toc16224 </w:instrText>
      </w:r>
      <w:r>
        <w:rPr>
          <w:rFonts w:hint="eastAsia" w:ascii="方正宋三简体" w:hAnsi="方正宋三简体" w:eastAsia="方正宋三简体" w:cs="方正宋三简体"/>
          <w:kern w:val="0"/>
          <w:szCs w:val="24"/>
          <w:lang w:eastAsia="zh-CN"/>
        </w:rPr>
        <w:fldChar w:fldCharType="separate"/>
      </w:r>
      <w:r>
        <w:rPr>
          <w:rFonts w:hint="eastAsia" w:ascii="方正宋三简体" w:hAnsi="方正宋三简体" w:eastAsia="方正宋三简体" w:cs="方正宋三简体"/>
          <w:bCs w:val="0"/>
          <w:kern w:val="36"/>
          <w:szCs w:val="36"/>
        </w:rPr>
        <w:t>中华人民共和国民办教育促进法</w:t>
      </w:r>
      <w:r>
        <w:rPr>
          <w:rFonts w:hint="eastAsia" w:ascii="方正宋三简体" w:hAnsi="方正宋三简体" w:eastAsia="方正宋三简体" w:cs="方正宋三简体"/>
        </w:rPr>
        <w:tab/>
      </w:r>
      <w:r>
        <w:rPr>
          <w:rFonts w:hint="eastAsia" w:ascii="方正宋三简体" w:hAnsi="方正宋三简体" w:eastAsia="方正宋三简体" w:cs="方正宋三简体"/>
        </w:rPr>
        <w:fldChar w:fldCharType="begin"/>
      </w:r>
      <w:r>
        <w:rPr>
          <w:rFonts w:hint="eastAsia" w:ascii="方正宋三简体" w:hAnsi="方正宋三简体" w:eastAsia="方正宋三简体" w:cs="方正宋三简体"/>
        </w:rPr>
        <w:instrText xml:space="preserve"> PAGEREF _Toc16224 </w:instrText>
      </w:r>
      <w:r>
        <w:rPr>
          <w:rFonts w:hint="eastAsia" w:ascii="方正宋三简体" w:hAnsi="方正宋三简体" w:eastAsia="方正宋三简体" w:cs="方正宋三简体"/>
        </w:rPr>
        <w:fldChar w:fldCharType="separate"/>
      </w:r>
      <w:r>
        <w:rPr>
          <w:rFonts w:hint="eastAsia" w:ascii="方正宋三简体" w:hAnsi="方正宋三简体" w:eastAsia="方正宋三简体" w:cs="方正宋三简体"/>
        </w:rPr>
        <w:t>- 26 -</w:t>
      </w:r>
      <w:r>
        <w:rPr>
          <w:rFonts w:hint="eastAsia" w:ascii="方正宋三简体" w:hAnsi="方正宋三简体" w:eastAsia="方正宋三简体" w:cs="方正宋三简体"/>
        </w:rPr>
        <w:fldChar w:fldCharType="end"/>
      </w:r>
      <w:r>
        <w:rPr>
          <w:rFonts w:hint="eastAsia" w:ascii="方正宋三简体" w:hAnsi="方正宋三简体" w:eastAsia="方正宋三简体" w:cs="方正宋三简体"/>
          <w:color w:val="auto"/>
          <w:kern w:val="0"/>
          <w:szCs w:val="24"/>
          <w:lang w:eastAsia="zh-CN"/>
        </w:rPr>
        <w:fldChar w:fldCharType="end"/>
      </w:r>
    </w:p>
    <w:p>
      <w:pPr>
        <w:pStyle w:val="4"/>
        <w:tabs>
          <w:tab w:val="right" w:leader="dot" w:pos="5558"/>
        </w:tabs>
        <w:spacing w:line="480" w:lineRule="auto"/>
        <w:rPr>
          <w:rFonts w:hint="eastAsia" w:ascii="方正宋三简体" w:hAnsi="方正宋三简体" w:eastAsia="方正宋三简体" w:cs="方正宋三简体"/>
        </w:rPr>
      </w:pPr>
      <w:r>
        <w:rPr>
          <w:rFonts w:hint="eastAsia" w:ascii="方正宋三简体" w:hAnsi="方正宋三简体" w:eastAsia="方正宋三简体" w:cs="方正宋三简体"/>
          <w:color w:val="auto"/>
          <w:kern w:val="0"/>
          <w:szCs w:val="24"/>
          <w:lang w:val="en-US" w:eastAsia="zh-CN"/>
        </w:rPr>
        <w:t>4、</w:t>
      </w:r>
      <w:r>
        <w:rPr>
          <w:rFonts w:hint="eastAsia" w:ascii="方正宋三简体" w:hAnsi="方正宋三简体" w:eastAsia="方正宋三简体" w:cs="方正宋三简体"/>
          <w:color w:val="auto"/>
          <w:kern w:val="0"/>
          <w:szCs w:val="24"/>
          <w:lang w:eastAsia="zh-CN"/>
        </w:rPr>
        <w:fldChar w:fldCharType="begin"/>
      </w:r>
      <w:r>
        <w:rPr>
          <w:rFonts w:hint="eastAsia" w:ascii="方正宋三简体" w:hAnsi="方正宋三简体" w:eastAsia="方正宋三简体" w:cs="方正宋三简体"/>
          <w:kern w:val="0"/>
          <w:szCs w:val="24"/>
          <w:lang w:eastAsia="zh-CN"/>
        </w:rPr>
        <w:instrText xml:space="preserve"> HYPERLINK \l _Toc27017 </w:instrText>
      </w:r>
      <w:r>
        <w:rPr>
          <w:rFonts w:hint="eastAsia" w:ascii="方正宋三简体" w:hAnsi="方正宋三简体" w:eastAsia="方正宋三简体" w:cs="方正宋三简体"/>
          <w:kern w:val="0"/>
          <w:szCs w:val="24"/>
          <w:lang w:eastAsia="zh-CN"/>
        </w:rPr>
        <w:fldChar w:fldCharType="separate"/>
      </w:r>
      <w:r>
        <w:rPr>
          <w:rFonts w:hint="eastAsia" w:ascii="方正宋三简体" w:hAnsi="方正宋三简体" w:eastAsia="方正宋三简体" w:cs="方正宋三简体"/>
          <w:bCs w:val="0"/>
          <w:szCs w:val="32"/>
        </w:rPr>
        <w:t>中华人民共和国监察法</w:t>
      </w:r>
      <w:r>
        <w:rPr>
          <w:rFonts w:hint="eastAsia" w:ascii="方正宋三简体" w:hAnsi="方正宋三简体" w:eastAsia="方正宋三简体" w:cs="方正宋三简体"/>
        </w:rPr>
        <w:tab/>
      </w:r>
      <w:r>
        <w:rPr>
          <w:rFonts w:hint="eastAsia" w:ascii="方正宋三简体" w:hAnsi="方正宋三简体" w:eastAsia="方正宋三简体" w:cs="方正宋三简体"/>
        </w:rPr>
        <w:fldChar w:fldCharType="begin"/>
      </w:r>
      <w:r>
        <w:rPr>
          <w:rFonts w:hint="eastAsia" w:ascii="方正宋三简体" w:hAnsi="方正宋三简体" w:eastAsia="方正宋三简体" w:cs="方正宋三简体"/>
        </w:rPr>
        <w:instrText xml:space="preserve"> PAGEREF _Toc27017 </w:instrText>
      </w:r>
      <w:r>
        <w:rPr>
          <w:rFonts w:hint="eastAsia" w:ascii="方正宋三简体" w:hAnsi="方正宋三简体" w:eastAsia="方正宋三简体" w:cs="方正宋三简体"/>
        </w:rPr>
        <w:fldChar w:fldCharType="separate"/>
      </w:r>
      <w:r>
        <w:rPr>
          <w:rFonts w:hint="eastAsia" w:ascii="方正宋三简体" w:hAnsi="方正宋三简体" w:eastAsia="方正宋三简体" w:cs="方正宋三简体"/>
        </w:rPr>
        <w:t>- 46 -</w:t>
      </w:r>
      <w:r>
        <w:rPr>
          <w:rFonts w:hint="eastAsia" w:ascii="方正宋三简体" w:hAnsi="方正宋三简体" w:eastAsia="方正宋三简体" w:cs="方正宋三简体"/>
        </w:rPr>
        <w:fldChar w:fldCharType="end"/>
      </w:r>
      <w:r>
        <w:rPr>
          <w:rFonts w:hint="eastAsia" w:ascii="方正宋三简体" w:hAnsi="方正宋三简体" w:eastAsia="方正宋三简体" w:cs="方正宋三简体"/>
          <w:color w:val="auto"/>
          <w:kern w:val="0"/>
          <w:szCs w:val="24"/>
          <w:lang w:eastAsia="zh-CN"/>
        </w:rPr>
        <w:fldChar w:fldCharType="end"/>
      </w:r>
    </w:p>
    <w:p>
      <w:pPr>
        <w:pStyle w:val="4"/>
        <w:tabs>
          <w:tab w:val="right" w:leader="dot" w:pos="5558"/>
        </w:tabs>
        <w:spacing w:line="480" w:lineRule="auto"/>
        <w:rPr>
          <w:rFonts w:hint="eastAsia" w:ascii="方正宋三简体" w:hAnsi="方正宋三简体" w:eastAsia="方正宋三简体" w:cs="方正宋三简体"/>
        </w:rPr>
      </w:pPr>
      <w:r>
        <w:rPr>
          <w:rFonts w:hint="eastAsia" w:ascii="方正宋三简体" w:hAnsi="方正宋三简体" w:eastAsia="方正宋三简体" w:cs="方正宋三简体"/>
          <w:color w:val="auto"/>
          <w:kern w:val="0"/>
          <w:szCs w:val="24"/>
          <w:lang w:val="en-US" w:eastAsia="zh-CN"/>
        </w:rPr>
        <w:t>5、</w:t>
      </w:r>
      <w:r>
        <w:rPr>
          <w:rFonts w:hint="eastAsia" w:ascii="方正宋三简体" w:hAnsi="方正宋三简体" w:eastAsia="方正宋三简体" w:cs="方正宋三简体"/>
          <w:color w:val="auto"/>
          <w:kern w:val="0"/>
          <w:szCs w:val="24"/>
          <w:lang w:eastAsia="zh-CN"/>
        </w:rPr>
        <w:fldChar w:fldCharType="begin"/>
      </w:r>
      <w:r>
        <w:rPr>
          <w:rFonts w:hint="eastAsia" w:ascii="方正宋三简体" w:hAnsi="方正宋三简体" w:eastAsia="方正宋三简体" w:cs="方正宋三简体"/>
          <w:kern w:val="0"/>
          <w:szCs w:val="24"/>
          <w:lang w:eastAsia="zh-CN"/>
        </w:rPr>
        <w:instrText xml:space="preserve"> HYPERLINK \l _Toc24867 </w:instrText>
      </w:r>
      <w:r>
        <w:rPr>
          <w:rFonts w:hint="eastAsia" w:ascii="方正宋三简体" w:hAnsi="方正宋三简体" w:eastAsia="方正宋三简体" w:cs="方正宋三简体"/>
          <w:kern w:val="0"/>
          <w:szCs w:val="24"/>
          <w:lang w:eastAsia="zh-CN"/>
        </w:rPr>
        <w:fldChar w:fldCharType="separate"/>
      </w:r>
      <w:r>
        <w:rPr>
          <w:rFonts w:hint="eastAsia" w:ascii="方正宋三简体" w:hAnsi="方正宋三简体" w:eastAsia="方正宋三简体" w:cs="方正宋三简体"/>
          <w:bCs/>
          <w:szCs w:val="36"/>
        </w:rPr>
        <w:t>中华人民共和国个人所得税法</w:t>
      </w:r>
      <w:r>
        <w:rPr>
          <w:rFonts w:hint="eastAsia" w:ascii="方正宋三简体" w:hAnsi="方正宋三简体" w:eastAsia="方正宋三简体" w:cs="方正宋三简体"/>
        </w:rPr>
        <w:tab/>
      </w:r>
      <w:r>
        <w:rPr>
          <w:rFonts w:hint="eastAsia" w:ascii="方正宋三简体" w:hAnsi="方正宋三简体" w:eastAsia="方正宋三简体" w:cs="方正宋三简体"/>
        </w:rPr>
        <w:fldChar w:fldCharType="begin"/>
      </w:r>
      <w:r>
        <w:rPr>
          <w:rFonts w:hint="eastAsia" w:ascii="方正宋三简体" w:hAnsi="方正宋三简体" w:eastAsia="方正宋三简体" w:cs="方正宋三简体"/>
        </w:rPr>
        <w:instrText xml:space="preserve"> PAGEREF _Toc24867 </w:instrText>
      </w:r>
      <w:r>
        <w:rPr>
          <w:rFonts w:hint="eastAsia" w:ascii="方正宋三简体" w:hAnsi="方正宋三简体" w:eastAsia="方正宋三简体" w:cs="方正宋三简体"/>
        </w:rPr>
        <w:fldChar w:fldCharType="separate"/>
      </w:r>
      <w:r>
        <w:rPr>
          <w:rFonts w:hint="eastAsia" w:ascii="方正宋三简体" w:hAnsi="方正宋三简体" w:eastAsia="方正宋三简体" w:cs="方正宋三简体"/>
        </w:rPr>
        <w:t>- 72 -</w:t>
      </w:r>
      <w:r>
        <w:rPr>
          <w:rFonts w:hint="eastAsia" w:ascii="方正宋三简体" w:hAnsi="方正宋三简体" w:eastAsia="方正宋三简体" w:cs="方正宋三简体"/>
        </w:rPr>
        <w:fldChar w:fldCharType="end"/>
      </w:r>
      <w:r>
        <w:rPr>
          <w:rFonts w:hint="eastAsia" w:ascii="方正宋三简体" w:hAnsi="方正宋三简体" w:eastAsia="方正宋三简体" w:cs="方正宋三简体"/>
          <w:color w:val="auto"/>
          <w:kern w:val="0"/>
          <w:szCs w:val="24"/>
          <w:lang w:eastAsia="zh-CN"/>
        </w:rPr>
        <w:fldChar w:fldCharType="end"/>
      </w:r>
    </w:p>
    <w:p>
      <w:pPr>
        <w:pStyle w:val="4"/>
        <w:tabs>
          <w:tab w:val="right" w:leader="dot" w:pos="5558"/>
        </w:tabs>
        <w:spacing w:line="480" w:lineRule="auto"/>
        <w:rPr>
          <w:rFonts w:hint="eastAsia" w:ascii="方正宋三简体" w:hAnsi="方正宋三简体" w:eastAsia="方正宋三简体" w:cs="方正宋三简体"/>
        </w:rPr>
      </w:pPr>
      <w:r>
        <w:rPr>
          <w:rFonts w:hint="eastAsia" w:ascii="方正宋三简体" w:hAnsi="方正宋三简体" w:eastAsia="方正宋三简体" w:cs="方正宋三简体"/>
          <w:color w:val="auto"/>
          <w:kern w:val="0"/>
          <w:szCs w:val="24"/>
          <w:lang w:val="en-US" w:eastAsia="zh-CN"/>
        </w:rPr>
        <w:t>6、</w:t>
      </w:r>
      <w:r>
        <w:rPr>
          <w:rFonts w:hint="eastAsia" w:ascii="方正宋三简体" w:hAnsi="方正宋三简体" w:eastAsia="方正宋三简体" w:cs="方正宋三简体"/>
          <w:color w:val="auto"/>
          <w:kern w:val="0"/>
          <w:szCs w:val="24"/>
          <w:lang w:eastAsia="zh-CN"/>
        </w:rPr>
        <w:fldChar w:fldCharType="begin"/>
      </w:r>
      <w:r>
        <w:rPr>
          <w:rFonts w:hint="eastAsia" w:ascii="方正宋三简体" w:hAnsi="方正宋三简体" w:eastAsia="方正宋三简体" w:cs="方正宋三简体"/>
          <w:kern w:val="0"/>
          <w:szCs w:val="24"/>
          <w:lang w:eastAsia="zh-CN"/>
        </w:rPr>
        <w:instrText xml:space="preserve"> HYPERLINK \l _Toc31998 </w:instrText>
      </w:r>
      <w:r>
        <w:rPr>
          <w:rFonts w:hint="eastAsia" w:ascii="方正宋三简体" w:hAnsi="方正宋三简体" w:eastAsia="方正宋三简体" w:cs="方正宋三简体"/>
          <w:kern w:val="0"/>
          <w:szCs w:val="24"/>
          <w:lang w:eastAsia="zh-CN"/>
        </w:rPr>
        <w:fldChar w:fldCharType="separate"/>
      </w:r>
      <w:r>
        <w:rPr>
          <w:rFonts w:hint="eastAsia" w:ascii="方正宋三简体" w:hAnsi="方正宋三简体" w:eastAsia="方正宋三简体" w:cs="方正宋三简体"/>
          <w:szCs w:val="36"/>
          <w:shd w:val="clear" w:color="auto" w:fill="FFFFFF"/>
        </w:rPr>
        <w:t>中华人民共和国消费者权益保护法</w:t>
      </w:r>
      <w:r>
        <w:rPr>
          <w:rFonts w:hint="eastAsia" w:ascii="方正宋三简体" w:hAnsi="方正宋三简体" w:eastAsia="方正宋三简体" w:cs="方正宋三简体"/>
        </w:rPr>
        <w:tab/>
      </w:r>
      <w:r>
        <w:rPr>
          <w:rFonts w:hint="eastAsia" w:ascii="方正宋三简体" w:hAnsi="方正宋三简体" w:eastAsia="方正宋三简体" w:cs="方正宋三简体"/>
        </w:rPr>
        <w:fldChar w:fldCharType="begin"/>
      </w:r>
      <w:r>
        <w:rPr>
          <w:rFonts w:hint="eastAsia" w:ascii="方正宋三简体" w:hAnsi="方正宋三简体" w:eastAsia="方正宋三简体" w:cs="方正宋三简体"/>
        </w:rPr>
        <w:instrText xml:space="preserve"> PAGEREF _Toc31998 </w:instrText>
      </w:r>
      <w:r>
        <w:rPr>
          <w:rFonts w:hint="eastAsia" w:ascii="方正宋三简体" w:hAnsi="方正宋三简体" w:eastAsia="方正宋三简体" w:cs="方正宋三简体"/>
        </w:rPr>
        <w:fldChar w:fldCharType="separate"/>
      </w:r>
      <w:r>
        <w:rPr>
          <w:rFonts w:hint="eastAsia" w:ascii="方正宋三简体" w:hAnsi="方正宋三简体" w:eastAsia="方正宋三简体" w:cs="方正宋三简体"/>
        </w:rPr>
        <w:t>- 84 -</w:t>
      </w:r>
      <w:r>
        <w:rPr>
          <w:rFonts w:hint="eastAsia" w:ascii="方正宋三简体" w:hAnsi="方正宋三简体" w:eastAsia="方正宋三简体" w:cs="方正宋三简体"/>
        </w:rPr>
        <w:fldChar w:fldCharType="end"/>
      </w:r>
      <w:r>
        <w:rPr>
          <w:rFonts w:hint="eastAsia" w:ascii="方正宋三简体" w:hAnsi="方正宋三简体" w:eastAsia="方正宋三简体" w:cs="方正宋三简体"/>
          <w:color w:val="auto"/>
          <w:kern w:val="0"/>
          <w:szCs w:val="24"/>
          <w:lang w:eastAsia="zh-CN"/>
        </w:rPr>
        <w:fldChar w:fldCharType="end"/>
      </w:r>
    </w:p>
    <w:p>
      <w:pPr>
        <w:keepNext w:val="0"/>
        <w:keepLines w:val="0"/>
        <w:pageBreakBefore w:val="0"/>
        <w:widowControl/>
        <w:shd w:val="clear" w:color="auto" w:fill="FFFFFF"/>
        <w:kinsoku/>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color w:val="auto"/>
          <w:kern w:val="0"/>
          <w:sz w:val="24"/>
          <w:szCs w:val="24"/>
          <w:lang w:eastAsia="zh-CN"/>
        </w:rPr>
      </w:pPr>
      <w:r>
        <w:rPr>
          <w:rFonts w:hint="eastAsia" w:ascii="方正宋三简体" w:hAnsi="方正宋三简体" w:eastAsia="方正宋三简体" w:cs="方正宋三简体"/>
          <w:color w:val="auto"/>
          <w:kern w:val="0"/>
          <w:szCs w:val="24"/>
          <w:lang w:eastAsia="zh-CN"/>
        </w:rPr>
        <w:fldChar w:fldCharType="end"/>
      </w:r>
    </w:p>
    <w:p>
      <w:pPr>
        <w:keepNext w:val="0"/>
        <w:keepLines w:val="0"/>
        <w:pageBreakBefore w:val="0"/>
        <w:widowControl/>
        <w:shd w:val="clear" w:color="auto" w:fill="FFFFFF"/>
        <w:kinsoku/>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kern w:val="0"/>
          <w:sz w:val="36"/>
          <w:szCs w:val="36"/>
        </w:rPr>
        <w:sectPr>
          <w:headerReference r:id="rId3" w:type="default"/>
          <w:pgSz w:w="8392" w:h="11850" w:orient="landscape"/>
          <w:pgMar w:top="1417" w:right="1417" w:bottom="1417" w:left="1417" w:header="851" w:footer="992" w:gutter="0"/>
          <w:pgNumType w:fmt="numberInDash" w:start="1"/>
          <w:cols w:space="0" w:num="1"/>
          <w:rtlGutter w:val="0"/>
          <w:docGrid w:type="lines" w:linePitch="322" w:charSpace="0"/>
        </w:sectPr>
      </w:pP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kern w:val="0"/>
          <w:sz w:val="32"/>
          <w:szCs w:val="32"/>
        </w:rPr>
        <w:sectPr>
          <w:footerReference r:id="rId4" w:type="default"/>
          <w:pgSz w:w="8392" w:h="11850" w:orient="landscape"/>
          <w:pgMar w:top="1417" w:right="1417" w:bottom="1417" w:left="1417" w:header="851" w:footer="992" w:gutter="0"/>
          <w:pgNumType w:fmt="numberInDash" w:start="1"/>
          <w:cols w:space="0" w:num="1"/>
          <w:rtlGutter w:val="0"/>
          <w:docGrid w:type="lines" w:linePitch="322" w:charSpace="0"/>
        </w:sectPr>
      </w:pPr>
      <w:bookmarkStart w:id="7" w:name="_GoBack"/>
      <w:bookmarkEnd w:id="7"/>
    </w:p>
    <w:p>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kern w:val="0"/>
          <w:sz w:val="32"/>
          <w:szCs w:val="32"/>
        </w:rPr>
      </w:pPr>
      <w:r>
        <w:rPr>
          <w:rFonts w:hint="eastAsia" w:ascii="方正小标宋简体" w:hAnsi="方正小标宋简体" w:eastAsia="方正小标宋简体" w:cs="方正小标宋简体"/>
          <w:color w:val="auto"/>
          <w:kern w:val="0"/>
          <w:sz w:val="32"/>
          <w:szCs w:val="32"/>
        </w:rPr>
        <w:t>国务院关于印发</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2"/>
          <w:szCs w:val="32"/>
        </w:rPr>
        <w:t>国家职业教育改革实施方案的通知</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kern w:val="0"/>
          <w:sz w:val="24"/>
          <w:szCs w:val="24"/>
        </w:rPr>
      </w:pPr>
      <w:r>
        <w:rPr>
          <w:rFonts w:hint="eastAsia" w:ascii="方正小标宋简体" w:hAnsi="方正小标宋简体" w:eastAsia="方正小标宋简体" w:cs="方正小标宋简体"/>
          <w:color w:val="auto"/>
          <w:kern w:val="0"/>
          <w:sz w:val="24"/>
          <w:szCs w:val="24"/>
        </w:rPr>
        <w:t>国发〔2019〕4号</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400" w:lineRule="exact"/>
        <w:jc w:val="both"/>
        <w:textAlignment w:val="auto"/>
        <w:rPr>
          <w:rFonts w:hint="eastAsia" w:ascii="仿宋_GB2312" w:hAnsi="仿宋_GB2312" w:eastAsia="仿宋_GB2312" w:cs="仿宋_GB2312"/>
          <w:color w:val="auto"/>
          <w:sz w:val="24"/>
          <w:szCs w:val="24"/>
        </w:rPr>
      </w:pP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40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各省、自治区、直辖市人民政府，国务院各部委、各直属机构：</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40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现将《国家职业教育改革实施方案》印发给你们，请认真贯彻执行。</w:t>
      </w:r>
    </w:p>
    <w:p>
      <w:pPr>
        <w:pStyle w:val="5"/>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400" w:lineRule="exact"/>
        <w:jc w:val="righ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国务院</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400" w:lineRule="exact"/>
        <w:jc w:val="righ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2019年1月24日 </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（此件公开发布）</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400" w:lineRule="exact"/>
        <w:textAlignment w:val="auto"/>
        <w:rPr>
          <w:rFonts w:hint="eastAsia" w:ascii="仿宋_GB2312" w:hAnsi="仿宋_GB2312" w:eastAsia="仿宋_GB2312" w:cs="仿宋_GB2312"/>
          <w:bCs/>
          <w:color w:val="auto"/>
          <w:sz w:val="24"/>
          <w:szCs w:val="24"/>
        </w:rPr>
      </w:pPr>
    </w:p>
    <w:p>
      <w:pPr>
        <w:rPr>
          <w:rFonts w:hint="eastAsia" w:ascii="方正小标宋简体" w:hAnsi="方正小标宋简体" w:eastAsia="方正小标宋简体" w:cs="方正小标宋简体"/>
          <w:bCs/>
          <w:color w:val="auto"/>
          <w:sz w:val="32"/>
          <w:szCs w:val="32"/>
        </w:rPr>
      </w:pPr>
      <w:bookmarkStart w:id="0" w:name="_Toc6605"/>
      <w:r>
        <w:rPr>
          <w:rFonts w:hint="eastAsia" w:ascii="方正小标宋简体" w:hAnsi="方正小标宋简体" w:eastAsia="方正小标宋简体" w:cs="方正小标宋简体"/>
          <w:bCs/>
          <w:color w:val="auto"/>
          <w:sz w:val="32"/>
          <w:szCs w:val="32"/>
        </w:rPr>
        <w:br w:type="page"/>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国家职业教育改革实施方案</w:t>
      </w:r>
      <w:bookmarkEnd w:id="0"/>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仿宋_GB2312" w:hAnsi="仿宋_GB2312" w:eastAsia="仿宋_GB2312" w:cs="仿宋_GB2312"/>
          <w:color w:val="auto"/>
          <w:sz w:val="24"/>
          <w:szCs w:val="24"/>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业教育与普通教育是两种不同教育类型，具有同等重要地位。改革开放以来，职业教育为我国经济社会发展提供了有力的人才和智力支撑，现代职业教育体系框架全面建成，服务经济社会发展能力和社会吸引力不断增强，具备了基本实现现代化的诸多有利条件和良好工作基础。随着我国进入新的发展阶段，产业升级和经济结构调整不断加快，各行各业对技术技能人才的需求越来越紧迫，职业教育重要地位和作用越来越凸显。但是，与发达国家相比，与建设现代化经济体系、建设教育强国的要求相比，我国职业教育还存在着体系建设不够完善、职业技能实训基地建设有待加强、制度标准不够健全、企业参与办学的动力不足、有利于技术技能人才成长的配套政策尚待完善、办学和人才培养质量水平参差不齐等问题，到了必须下大力气抓好的时候。没有职业教育现代化就没有教育现代化。为贯彻全国教育大会精神，进一步办好新时代职业教育，落实《中华人民共和国职业教育法》，制定本实施方案。</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体要求与目标：坚持以习近平新时代中国特色社会主义思想为指导，把职业教育摆在教育改革创新和经济社会发展中更加突出的位置。牢固树立新发展理念，服务建设现代化经济体系和实现更高质量更充分就业需要，对接科技发展趋势和市场需求，完善职业教育和培训体系，优化学校、专业布局，深化办学体制改革和育人机制改革，以促进就业和适应产业发展需求为导向，鼓励和支持社会各界特别是企业积极支持职业教育，着力培养高素质劳动者和技术技能人才。经过5—10年左右时间，职业教育基本完成由政府举办为主向政府统筹管理、社会多元办学的格局转变，由追求规模扩张向提高质量转变，由参照普通教育办学模式向企业社会参与、专业特色鲜明的类型教育转变，大幅提升新时代职业教育现代化水平，为促进经济社会发展和提高国家竞争力提供优质人才资源支撑。</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体指标：到2022年，职业院校教学条件基本达标，一大批普通本科高等学校向应用型转变，建设50所高水平高等职业学校和150个骨干专业（群）。建成覆盖大部分行业领域、具有国际先进水平的中国职业教育标准体系。企业参与职业教育的积极性有较大提升，培育数以万计的产教融合型企业，打造一批优秀职业教育培训评价组织，推动建设300个具有辐射引领作用的高水平专业化产教融合实训基地。职业院校实践性教学课时原则上占总课时一半以上，顶岗实习时间一般为6个月。“双师型”教师（同时具备理论教学和实践教学能力的教师）占专业课教师总数超过一半，分专业建设一批国家级职业教育教师教学创新团队。从2019年开始，在职业院校、应用型本科高校启动“学历证书+若干职业技能等级证书”制度试点（以下称1+X证书制度试点）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一、完善国家职业教育制度体系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（一）健全国家职业教育制度框架。</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把握好正确的改革方向，按照“管好两端、规范中间、书证融通、办学多元”的原则，严把教学标准和毕业学生质量标准两个关口。将标准化建设作为统领职业教育发展的突破口，完善职业教育体系，为服务现代制造业、现代服务业、现代农业发展和职业教育现代化提供制度保障与人才支持。建立健全学校设置、师资队伍、教学教材、信息化建设、安全设施等办学标准，引领职业教育服务发展、促进就业创业。落实好立德树人根本任务，健全德技并修、工学结合的育人机制，完善评价机制，规范人才培养全过程。深化产教融合、校企合作，育训结合，健全多元化办学格局，推动企业深度参与协同育人，扶持鼓励企业和社会力量参与举办各类职业教育。推进资历框架建设，探索实现学历证书和职业技能等级证书互通衔接。</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（二）提高中等职业教育发展水平。</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优化教育结构，把发展中等职业教育作为普及高中阶段教育和建设中国特色职业教育体系的重要基础，保持高中阶段教育职普比大体相当，使绝大多数城乡新增劳动力接受高中阶段教育。改善中等职业学校基本办学条件。加强省级统筹，建好办好一批县域职教中心，重点支持集中连片特困地区每个地（市、州、盟）原则上至少建设一所符合当地经济社会发展和技术技能人才培养需要的中等职业学校。指导各地优化中等职业学校布局结构，科学配置并做大做强职业教育资源。加大对民族地区、贫困地区和残疾人职业教育的政策、金融支持力度，落实职业教育东西协作行动计划，办好内地少数民族中职班。完善招生机制，建立中等职业学校和普通高中统一招生平台，精准服务区域发展需求。积极招收初高中毕业未升学学生、退役军人、退役运动员、下岗职工、返乡农民工等接受中等职业教育；服务乡村振兴战略，为广大农村培养以新型职业农民为主体的农村实用人才。发挥中等职业学校作用，帮助部分学业困难学生按规定在职业学校完成义务教育，并接受部分职业技能学习。</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鼓励中等职业学校联合中小学开展劳动和职业启蒙教育，将动手实践内容纳入中小学相关课程和学生综合素质评价。</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（三）推进高等职业教育高质量发展。</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把发展高等职业教育作为优化高等教育结构和培养大国工匠、能工巧匠的重要方式，使城乡新增劳动力更多接受高等教育。高等职业学校要培养服务区域发展的高素质技术技能人才，重点服务企业特别是中小微企业的技术研发和产品升级，加强社区教育和终身学习服务。建立“职教高考”制度，完善“文化素质+职业技能”的考试招生办法，提高生源质量，为学生接受高等职业教育提供多种入学方式和学习方式。在学前教育、护理、养老服务、健康服务、现代服务业等领域，扩大对初中毕业生实行中高职贯通培养的招生规模。启动实施中国特色高水平高等职业学校和专业建设计划，建设一批引领改革、支撑发展、中国特色、世界水平的高等职业学校和骨干专业（群）。根据高等学校设置制度规定，将符合条件的技师学院纳入高等学校序列。</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（四）完善高层次应用型人才培养体系。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完善学历教育与培训并重的现代职业教育体系，畅通技术技能人才成长渠道。发展以职业需求为导向、以实践能力培养为重点、以产学研用结合为途径的专业学位研究生培养模式，加强专业学位硕士研究生培养。推动具备条件的普通本科高校向应用型转变，鼓励有条件的普通高校开办应用技术类型专业或课程。开展本科层次职业教育试点。制定中国技能大赛、全国职业院校技能大赛、世界技能大赛获奖选手等免试入学政策，探索长学制培养高端技术技能人才。服务军民融合发展，把军队相关的职业教育纳入国家职业教育大体系，共同做好面向现役军人的教育培训，支持其在服役期间取得多类职业技能等级证书，提升技术技能水平。落实好定向培养直招士官政策，推动地方院校与军队院校有效对接，推动优质职业教育资源向军事人才培养开放，建立军地网络教育资源共享机制。制订具体政策办法，支持适合的退役军人进入职业院校和普通本科高校接受教育和培训，鼓励支持设立退役军人教育培训集团（联盟），推动退役、培训、就业有机衔接，为促进退役军人特别是退役士兵就业创业作出贡献。</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二、构建职业教育国家标准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（五）完善教育教学相关标准。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挥标准在职业教育质量提升中的基础性作用。按照专业设置与产业需求对接、课程内容与职业标准对接、教学过程与生产过程对接的要求，完善中等、高等职业学校设置标准，规范职业院校设置；实施教师和校长专业标准，提升职业院校教学管理和教学实践能力。持续更新并推进专业目录、专业教学标准、课程标准、顶岗实习标准、实训条件建设标准（仪器设备配备规范）建设和在职业院校落地实施。巩固和发展国务院教育行政部门联合行业制定国家教学标准、职业院校依据标准自主制订人才培养方案的工作格局。</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（六）启动1+X证书制度试点工作。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深化复合型技术技能人才培养培训模式改革，借鉴国际职业教育培训普遍做法，制订工作方案和具体管理办法，启动1+X证书制度试点工作。试点工作要进一步发挥好学历证书作用，夯实学生可持续发展基础，鼓励职业院校学生在获得学历证书的同时，积极取得多类职业技能等级证书，拓展就业创业本领，缓解结构性就业矛盾。国务院人力资源社会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院校内培训可面向社会人群，院校外培训也可面向在校学生。各类职业技能等级证书具有同等效力，持有证书人员享受同等待遇。院校内实施的职业技能等级证书分为初级、中级、高级，是职业技能水平的凭证，反映职业活动和个人职业生涯发展所需要的综合能力。</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（七）开展高质量职业培训。</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落实职业院校实施学历教育与培训并举的法定职责，按照育训结合、长短结合、内外结合的要求，面向在校学生和全体社会成员开展职业培训。自2019年开始，围绕现代农业、先进制造业、现代服务业、战略性新兴产业，推动职业院校在10个左右技术技能人才紧缺领域大力开展职业培训。引导行业企业深度参与技术技能人才培养培训，促进职业院校加强专业建设、深化课程改革、增强实训内容、提高师资水平，全面提升教育教学质量。各级政府要积极支持职业培训，行政部门要简政放权并履行好监管职责，相关下属机构要优化服务，对于违规收取费用的要严肃处理。畅通技术技能人才职业发展通道，鼓励其持续获得适应经济社会发展需要的职业培训证书，引导和支持企业等用人单位落实相关待遇。对取得职业技能等级证书的离校未就业高校毕业生，按规定落实职业培训补贴政策。</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（八）实现学习成果的认定、积累和转换。</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加快推进职业教育国家“学分银行”建设，从2019年开始，探索建立职业教育个人学习账号，实现学习成果可追溯、可查询、可转换。有序开展学历证书和职业技能等级证书所体现的学习成果的认定、积累和转换，为技术技能人才持续成长拓宽通道。职业院校对取得若干职业技能等级证书的社会成员，支持其根据证书等级和类别免修部分课程，在完成规定内容学习后依法依规取得学历证书。对接受职业院校学历教育并取得毕业证书的学生，在参加相应的职业技能等级证书考试时，可免试部分内容。从2019年起，在有条件的地区和高校探索实施试点工作，制定符合国情的国家资历框架。</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三、促进产教融合校企“双元”育人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（九）坚持知行合一、工学结合。</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借鉴“双元制”等模式，总结现代学徒制和企业新型学徒制试点经验，校企共同研究制定人才培养方案，及时将新技术、新工艺、新规范纳入教学标准和教学内容，强化学生实习实训。健全专业设置定期评估机制，强化地方引导本区域职业院校优化专业设置的职责，原则上每5年修订1次职业院校专业目录，学校依据目录灵活自主设置专业，每年调整1次专业。健全专业教学资源库，建立共建共享平台的资源认证标准和交易机制，进一步扩大优质资源覆盖面。遴选认定一大批职业教育在线精品课程，建设一大批校企“双元”合作开发的国家规划教材，倡导使用新型活页式、工作手册式教材并配套开发信息化资源。每3年修订1次教材，其中专业教材随信息技术发展和产业升级情况及时动态更新。适应“互联网+职业教育”发展需求，运用现代信息技术改进教学方式方法，推进虚拟工厂等网络学习空间建设和普遍应用。</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（十）推动校企全面加强深度合作。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业院校应当根据自身特点和人才培养需要，主动与具备条件的企业在人才培养、技术创新、就业创业、社会服务、文化传承等方面开展合作。学校积极为企业提供所需的课程、师资等资源，企业应当依法履行实施职业教育的义务，利用资本、技术、知识、设施、设备和管理等要素参与校企合作，促进人力资源开发。校企合作中，学校可从中获得智力、专利、教育、劳务等报酬，具体分配由学校按规定自行处理。在开展国家产教融合建设试点基础上，建立产教融合型企业认证制度，对进入目录的产教融合型企业给予“金融+财政+土地+信用”的组合式激励，并按规定落实相关税收政策。试点企业兴办职业教育的投资符合条件的，可按投资额一定比例抵免该企业当年应缴教育费附加和地方教育附加。厚植企业承担职业教育责任的社会环境，推动职业院校和行业企业形成命运共同体。</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（十一）打造一批高水平实训基地。</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加大政策引导力度，充分调动各方面深化职业教育改革创新的积极性，带动各级政府、企业和职业院校建设一批资源共享，集实践教学、社会培训、企业真实生产和社会技术服务于一体的高水平职业教育实训基地。面向先进制造业等技术技能人才紧缺领域，统筹多种资源，建设若干具有辐射引领作用的高水平专业化产教融合实训基地，推动开放共享，辐射区域内学校和企业；鼓励职业院校建设或校企共建一批校内实训基地，提升重点专业建设和校企合作育人水平。积极吸引企业和社会力量参与，指导各地各校借鉴德国、日本、瑞士等国家经验，探索创新实训基地运营模式。提高实训基地规划、管理水平，为社会公众、职业院校在校生取得职业技能等级证书和企业提升人力资源水平提供有力支撑。</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（十二）多措并举打造“双师型”教师队伍。</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从2019年起，职业院校、应用型本科高校相关专业教师原则上从具有3年以上企业工作经历并具有高职以上学历的人员中公开招聘，特殊高技能人才（含具有高级工以上职业资格人员）可适当放宽学历要求，2020年起基本不再从应届毕业生中招聘。加强职业技术师范院校建设，优化结构布局，引导一批高水平工科学校举办职业技术师范教育。实施职业院校教师素质提高计划，建立100个“双师型”教师培养培训基地，职业院校、应用型本科高校教师每年至少1个月在企业或实训基地实训，落实教师5年一周期的全员轮训制度。探索组建高水平、结构化教师教学创新团队，教师分工协作进行模块化教学。定期组织选派职业院校专业骨干教师赴国外研修访学。在职业院校实行高层次、高技能人才以直接考察的方式公开招聘。建立健全职业院校自主聘任兼职教师的办法，推动企业工程技术人员、高技能人才和职业院校教师双向流动。职业院校通过校企合作、技术服务、社会培训、自办企业等所得收入，可按一定比例作为绩效工资来源。</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四、建设多元办学格局</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（十三）推动企业和社会力量举办高质量职业教育。</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各级政府部门要深化“放管服”改革，加快推进职能转变，由注重“办”职业教育向“管理与服务”过渡。政府主要负责规划战略、制定政策、依法依规监管。发挥企业重要办学主体作用，鼓励有条件的企业特别是大企业举办高质量职业教育，各级人民政府可按规定给予适当支持。完善企业经营管理和技术人员与学校领导、骨干教师相互兼职兼薪制度。2020年初步建成300个示范性职业教育集团（联盟），带动中小企业参与。支持和规范社会力量兴办职业教育培训，鼓励发展股份制、混合所有制等职业院校和各类职业培训机构。建立公开透明规范的民办职业教育准入、审批制度，探索民办职业教育负面清单制度，建立健全退出机制。</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（十四）做优职业教育培训评价组织。</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业教育包括职业学校教育和职业培训，职业院校和应用型本科高校按照国家教学标准和规定职责完成教学任务和职业技能人才培养。同时，也必须调动社会力量，补充校园不足，助力校园办学。能够依据国家有关法规和职业标准、教学标准完成的职业技能培训，要更多通过职业教育培训评价组织（以下简称培训评价组织）等参与实施。政府通过放宽准入，严格末端监督执法，严格控制数量，扶优、扶大、扶强，保证培训质量和学生能力水平。要按照在已成熟的品牌中遴选一批、在成长中的品牌中培育一批、在有需要但还没有建立项目的领域中规划一批的原则，以社会化机制公开招募并择优遴选培训评价组织，优先从制订过国家职业标准并完成标准教材编写，具有专家、师资团队、资金实力和5年以上优秀培训业绩的机构中选择。培训评价组织应对接职业标准，与国际先进标准接轨，按有关规定开发职业技能等级标准，负责实施职业技能考核、评价和证书发放。政府部门要加强监管，防止出现乱培训、滥发证现象。行业协会要积极配合政府，为培训评价组织提供好服务环境支持，不得以任何方式收取费用或干预企业办学行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五、完善技术技能人才保障政策</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（十五）提高技术技能人才待遇水平。</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技术技能人才凭技能提升待遇，鼓励企业职务职级晋升和工资分配向关键岗位、生产一线岗位和紧缺急需的高层次、高技能人才倾斜。建立国家技术技能大师库，鼓励技术技能大师建立大师工作室，并按规定给予政策和资金支持，支持技术技能大师到职业院校担任兼职教师，参与国家重大工程项目联合攻关。积极推动职业院校毕业生在落户、就业、参加机关事业单位招聘、职称评审、职级晋升等方面与普通高校毕业生享受同等待遇。逐步提高技术技能人才特别是技术工人收入水平和地位。机关和企事业单位招用人员不得歧视职业院校毕业生。国务院人力资源社会保障行政部门会同有关部门，适时组织清理调整对技术技能人才的歧视政策，推动形成人人皆可成才、人人尽展其才的良好环境。按照国家有关规定加大对职业院校参加有关技能大赛成绩突出毕业生的表彰奖励力度。办好职业教育活动周和世界青年技能日宣传活动，深入开展“大国工匠进校园”、“劳模进校园”、“优秀职校生校园分享”等活动，宣传展示大国工匠、能工巧匠和高素质劳动者的事迹和形象，培育和传承好工匠精神。</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（十六）健全经费投入机制。</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各级政府要建立与办学规模、培养成本、办学质量等相适应的财政投入制度，地方政府要按规定制定并落实职业院校生均经费标准或公用经费标准。在保障教育合理投入的同时，优化教育支出结构，新增教育经费要向职业教育倾斜。鼓励社会力量捐资、出资兴办职业教育，拓宽办学筹资渠道。进一步完善中等职业学校生均拨款制度，各地中等职业学校生均财政拨款水平可适当高于当地普通高中。各地在继续巩固落实好高等职业教育生均财政拨款水平达到12000元的基础上，根据发展需要和财力可能逐步提高拨款水平。组织实施好现代职业教育质量提升计划、产教融合工程等。经费投入要进一步突出改革导向，支持校企合作，注重向中西部、贫困地区和民族地区倾斜。进一步扩大职业院校助学金覆盖面，完善补助标准动态调整机制，落实对建档立卡等家庭经济困难学生的倾斜政策，健全职业教育奖学金制度。</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六、加强职业教育办学质量督导评价</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（十七）建立健全职业教育质量评价和督导评估制度。</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学习者的职业道德、技术技能水平和就业质量，以及产教融合、校企合作水平为核心，建立职业教育质量评价体系。定期对职业技能等级证书有关工作进行“双随机、一公开”的抽查和监督，从2019年起，对培训评价组织行为和职业院校培训质量进行监测和评估。实施职业教育质量年度报告制度，报告向社会公开。完善政府、行业、企业、职业院校等共同参与的质量评价机制，积极支持第三方机构开展评估，将考核结果作为政策支持、绩效考核、表彰奖励的重要依据。完善职业教育督导评估办法，建立职业教育定期督导评估和专项督导评估制度，落实督导报告、公报、约谈、限期整改、奖惩等制度。国务院教育督导委员会定期听取职业教育督导评估情况汇报。</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（十八）支持组建国家职业教育指导咨询委员会。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为把握正确的国家职业教育改革发展方向，创新我国职业教育改革发展模式，提出重大政策研究建议，参与起草、制订国家职业教育法律法规，开展重大改革调研，提供各种咨询意见，进一步提高政府决策科学化水平，规划并审议职业教育标准等，在政府指导下组建国家职业教育指导咨询委员会。成员包括政府人员、职业教育专家、行业企业专家、管理专家、职业教育研究人员、中华职业教育社等团体和社会各方面热心职业教育的人士。通过政府购买服务等方式，听取咨询机构提出的意见建议并鼓励社会和民间智库参与。政府可以委托国家职业教育指导咨询委员会作为第三方，对全国职业院校、普通高校、校企合作企业、培训评价组织的教育管理、教学质量、办学方式模式、师资培养、学生职业技能提升等情况，进行指导、考核、评估等。</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七、做好改革组织实施工作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（十九）加强党对职业教育工作的全面领导。</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习近平新时代中国特色社会主义思想特别是习近平总书记关于职业教育的重要论述武装头脑、指导实践、推动工作。加强党对教育事业的全面领导，全面贯彻党的教育方针，落实中央教育工作领导小组各项要求，保证职业教育改革发展正确方向。要充分发挥党组织在职业院校的领导核心和政治核心作用，牢牢把握学校意识形态工作领导权，将党建工作与学校事业发展同部署、同落实、同考评。指导职业院校上好思想政治理论课，实施好中等职业学校“文明风采”活动，推进职业教育领域“三全育人”综合改革试点工作，使各类课程与思想政治理论课同向同行，努力实现职业技能和职业精神培养高度融合。加强基层党组织建设，有效发挥基层党组织的战斗堡垒作用和共产党员的先锋模范作用，带动学校工会、共青团等群团组织和学生会组织建设，汇聚每一位师生员工的积极性和主动性。</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（二十）完善国务院职业教育工作部际联席会议制度。</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国务院职业教育工作部际联席会议由教育、人力资源社会保障、发展改革、工业和信息化、财政、农业农村、国资、税务、扶贫等单位组成，国务院分管教育工作的副总理担任召集人。联席会议统筹协调全国职业教育工作，研究协调解决工作中重大问题，听取国家职业教育指导咨询委员会等方面的意见建议，部署实施职业教育改革创新重大事项，每年召开两次会议，各成员单位就有关工作情况向联席会议报告。国务院教育行政部门负责职业教育工作的统筹规划、综合协调、宏观管理，国务院教育行政部门、人力资源社会保障行政部门和其他有关部门在职责范围内，分别负责有关的职业教育工作。各成员单位要加强沟通协调，做好相关政策配套衔接，在国家和区域战略规划、重大项目安排、经费投入、企业办学、人力资源开发等方面形成政策合力。推动落实《中华人民共和国职业教育法》，为职业教育改革创新提供重要的制度保障。</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br w:type="page"/>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outlineLvl w:val="0"/>
        <w:rPr>
          <w:rStyle w:val="8"/>
          <w:rFonts w:hint="eastAsia" w:ascii="方正小标宋简体" w:hAnsi="方正小标宋简体" w:eastAsia="方正小标宋简体" w:cs="方正小标宋简体"/>
          <w:b w:val="0"/>
          <w:bCs w:val="0"/>
          <w:color w:val="auto"/>
          <w:sz w:val="32"/>
          <w:szCs w:val="32"/>
        </w:rPr>
      </w:pPr>
      <w:bookmarkStart w:id="1" w:name="_Toc20117"/>
      <w:r>
        <w:rPr>
          <w:rStyle w:val="8"/>
          <w:rFonts w:hint="eastAsia" w:ascii="方正小标宋简体" w:hAnsi="方正小标宋简体" w:eastAsia="方正小标宋简体" w:cs="方正小标宋简体"/>
          <w:b w:val="0"/>
          <w:bCs w:val="0"/>
          <w:color w:val="auto"/>
          <w:sz w:val="32"/>
          <w:szCs w:val="32"/>
        </w:rPr>
        <w:t>新时代高校教师职业行为十项准则</w:t>
      </w:r>
      <w:bookmarkEnd w:id="1"/>
    </w:p>
    <w:p>
      <w:pPr>
        <w:pStyle w:val="5"/>
        <w:keepNext w:val="0"/>
        <w:keepLines w:val="0"/>
        <w:pageBreakBefore w:val="0"/>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仿宋_GB2312" w:hAnsi="仿宋_GB2312" w:eastAsia="仿宋_GB2312" w:cs="仿宋_GB2312"/>
          <w:color w:val="auto"/>
          <w:sz w:val="24"/>
          <w:szCs w:val="2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一、坚定政治方向。坚持以习近平新时代中国特色社会主义思想为指导，拥护中国共产党的领导，贯彻党的教育方针；不得在教育教学活动中及其他场合有损害党中央权威、违背党的路线方针政策的言行。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二、自觉爱国守法。忠于祖国，忠于人民，恪守宪法原则，遵守法律法规，依法履行教师职责；不得损害国家利益、社会公共利益，或违背社会公序良俗。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三、传播优秀文化。带头践行社会主义核心价值观，弘扬真善美，传递正能量；不得通过课堂、论坛、讲座、信息网络及其他渠道发表、转发错误观点，或编造散布虚假信息、不良信息。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四、潜心教书育人。落实立德树人根本任务，遵循教育规律和学生成长规律，因材施教，教学相长；不得违反教学纪律，敷衍教学，或擅自从事影响教育教学本职工作的兼职兼薪行为。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五、关心爱护学生。严慈相济，诲人不倦，真心关爱学生，严格要求学生，做学生良师益友；不得要求学生从事与教学、科研、社会服务无关的事宜。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六、坚持言行雅正。为人师表，以身作则，举止文明，作风正派，自重自爱；不得与学生发生任何不正当关系，严禁任何形式的猥亵、性骚扰行为。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七、遵守学术规范。严谨治学，力戒浮躁，潜心问道，勇于探索，坚守学术良知，反对学术不端；不得抄袭剽窃、篡改侵吞他人学术成果，或滥用学术资源和学术影响。</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八、秉持公平诚信。坚持原则，处事公道，光明磊落，为人正直；不得在招生、考试、推优、保研、就业及绩效考核、岗位聘用、职称评聘、评优评奖等工作中徇私舞弊、弄虚作假。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九、坚守廉洁自律。严于律己，清廉从教；不得索要、收受学生及家长财物，不得参加由学生及家长付费的宴请、旅游、娱乐休闲等活动，或利用家长资源谋取私利。</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十、积极奉献社会。履行社会责任，贡献聪明才智，树立正确义利观；不得假公济私，擅自利用学校名义或校名、校徽、专利、场所等资源谋取个人利益。</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br w:type="page"/>
      </w: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0"/>
        <w:rPr>
          <w:rFonts w:hint="eastAsia" w:ascii="方正小标宋简体" w:hAnsi="方正小标宋简体" w:eastAsia="方正小标宋简体" w:cs="方正小标宋简体"/>
          <w:b w:val="0"/>
          <w:bCs w:val="0"/>
          <w:color w:val="auto"/>
          <w:kern w:val="36"/>
          <w:sz w:val="32"/>
          <w:szCs w:val="32"/>
        </w:rPr>
      </w:pPr>
      <w:bookmarkStart w:id="2" w:name="_Toc16224"/>
      <w:r>
        <w:rPr>
          <w:rFonts w:hint="eastAsia" w:ascii="方正小标宋简体" w:hAnsi="方正小标宋简体" w:eastAsia="方正小标宋简体" w:cs="方正小标宋简体"/>
          <w:b w:val="0"/>
          <w:bCs w:val="0"/>
          <w:color w:val="auto"/>
          <w:kern w:val="36"/>
          <w:sz w:val="32"/>
          <w:szCs w:val="32"/>
        </w:rPr>
        <w:t>中华人民共和国民办教育促进法</w:t>
      </w:r>
      <w:bookmarkEnd w:id="2"/>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0"/>
        <w:rPr>
          <w:rFonts w:hint="eastAsia" w:ascii="仿宋_GB2312" w:hAnsi="仿宋_GB2312" w:eastAsia="仿宋_GB2312" w:cs="仿宋_GB2312"/>
          <w:b/>
          <w:bCs/>
          <w:color w:val="auto"/>
          <w:kern w:val="36"/>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2002年12月28日第九届全国人民代表大会常务委员会第三十一次会议通过根据2013年6月29日第十二届全国人民代表大会常务委员会第三次会议《关于修改〈中华人民共和国文物保护法〉等十二部法律的决定》第一次修正根据2016年11月7日第十二届全国人民代表大会常务委员会第二十四次会议《关于修改〈中华人民共和国民办教育促进法〉的决定》第二次修正）</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kern w:val="0"/>
          <w:sz w:val="30"/>
          <w:szCs w:val="30"/>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br w:type="page"/>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0"/>
          <w:sz w:val="30"/>
          <w:szCs w:val="30"/>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rPr>
        <w:t xml:space="preserve">目 </w:t>
      </w:r>
      <w:r>
        <w:rPr>
          <w:rFonts w:hint="eastAsia" w:ascii="黑体" w:hAnsi="黑体" w:eastAsia="黑体" w:cs="黑体"/>
          <w:b/>
          <w:bCs/>
          <w:color w:val="auto"/>
          <w:kern w:val="0"/>
          <w:sz w:val="30"/>
          <w:szCs w:val="30"/>
          <w:lang w:val="en-US" w:eastAsia="zh-CN"/>
        </w:rPr>
        <w:t xml:space="preserve">  </w:t>
      </w:r>
      <w:r>
        <w:rPr>
          <w:rFonts w:hint="eastAsia" w:ascii="黑体" w:hAnsi="黑体" w:eastAsia="黑体" w:cs="黑体"/>
          <w:b/>
          <w:bCs/>
          <w:color w:val="auto"/>
          <w:kern w:val="0"/>
          <w:sz w:val="30"/>
          <w:szCs w:val="30"/>
        </w:rPr>
        <w:t>录</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kern w:val="0"/>
          <w:sz w:val="30"/>
          <w:szCs w:val="30"/>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第一章 总 则</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第二章 设 立</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第三章 学校的组织与活动</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第四章 教师与受教育者</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第五章 学校资产与财务管理</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第六章 管理与监督</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第七章 扶持与奖励</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第八章 变更与终止</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第九章 法律责任</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第十章 附 则</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br w:type="page"/>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第一章</w:t>
      </w:r>
      <w:r>
        <w:rPr>
          <w:rFonts w:hint="eastAsia" w:ascii="黑体" w:hAnsi="黑体" w:eastAsia="黑体" w:cs="黑体"/>
          <w:b w:val="0"/>
          <w:bCs w:val="0"/>
          <w:color w:val="auto"/>
          <w:kern w:val="0"/>
          <w:sz w:val="28"/>
          <w:szCs w:val="28"/>
          <w:lang w:val="en-US" w:eastAsia="zh-CN"/>
        </w:rPr>
        <w:t xml:space="preserve">  </w:t>
      </w:r>
      <w:r>
        <w:rPr>
          <w:rFonts w:hint="eastAsia" w:ascii="黑体" w:hAnsi="黑体" w:eastAsia="黑体" w:cs="黑体"/>
          <w:b w:val="0"/>
          <w:bCs w:val="0"/>
          <w:color w:val="auto"/>
          <w:kern w:val="0"/>
          <w:sz w:val="28"/>
          <w:szCs w:val="28"/>
        </w:rPr>
        <w:t>总 则</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第一条 为实施科教兴国战略，促进民办教育事业的健康发展，维护民办学校和受教育者的合法权益，根据宪法和教育法制定本法。</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第二条 国家机构以外的社会组织或者个人，利用非国家财政性经费，面向社会举办学校及其他教育机构的活动，适用本法。本法未作规定的，依照教育法和其他有关教育法律执行。</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第三条 民办教育事业属于公益性事业，是社会主义教育事业的组成部分。</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国家对民办教育实行积极鼓励、大力支持、正确引导、依法管理的方针。</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各级人民政府应当将民办教育事业纳入国民经济和社会发展规划。</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第四条 民办学校应当遵守法律、法规，贯彻国家的教育方针，保证教育质量，致力于培养社会主义建设事业的各类人才。</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民办学校应当贯彻教育与宗教相分离的原则。任何组织和个人不得利用宗教进行妨碍国家教育制度的活动。</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第五条 民办学校与公办学校具有同等的法律地位，国家保障民办学校的办学自主权。</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国家保障民办学校举办者、校长、教职工和受教育者的合法权益。</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第六条 国家鼓励捐资办学。</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国家对为发展民办教育事业做出突出贡献的组织和个人，给予奖励和表彰。</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第七条 国务院教育行政部门负责全国民办教育工作的统筹规划、综合协调和宏观管理。</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国务院人力资源社会保障行政部门及其他有关部门在国务院规定的职责范围内分别负责有关的民办教育工作。</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第八条 县级以上地方各级人民政府教育行政部门主管本行政区域内的民办教育工作。</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县级以上地方各级人民政府人力资源社会保障行政部门及其他有关部门在各自的职责范围内，分别负责有关的民办教育工作。</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第九条 民办学校中的中国共产党基层组织,按照中国共产党章程的规定开展党的活动,加强党的建设。</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第二章</w:t>
      </w:r>
      <w:r>
        <w:rPr>
          <w:rFonts w:hint="eastAsia" w:ascii="黑体" w:hAnsi="黑体" w:eastAsia="黑体" w:cs="黑体"/>
          <w:b w:val="0"/>
          <w:bCs w:val="0"/>
          <w:color w:val="auto"/>
          <w:kern w:val="0"/>
          <w:sz w:val="28"/>
          <w:szCs w:val="28"/>
          <w:lang w:val="en-US" w:eastAsia="zh-CN"/>
        </w:rPr>
        <w:t xml:space="preserve">  </w:t>
      </w:r>
      <w:r>
        <w:rPr>
          <w:rFonts w:hint="eastAsia" w:ascii="黑体" w:hAnsi="黑体" w:eastAsia="黑体" w:cs="黑体"/>
          <w:b w:val="0"/>
          <w:bCs w:val="0"/>
          <w:color w:val="auto"/>
          <w:kern w:val="0"/>
          <w:sz w:val="28"/>
          <w:szCs w:val="28"/>
        </w:rPr>
        <w:t>设 立</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kern w:val="0"/>
          <w:sz w:val="28"/>
          <w:szCs w:val="28"/>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第十条 举办民办学校的社会组织，应当具有法人资格。</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举办民办学校的个人，应当具有政治权利和完全民事行为能力。</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民办学校应当具备法人条件。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第十一条 设立民办学校应当符合当地教育发展的需求，具备教育法和其他有关法律、法规规定的条件。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民办学校的设置标准参照同级同类公办学校的设置标准执行。</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第十二条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第十三条 申请筹设民办学校，举办者应当向审批机关提交下列材料：</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（一）申办报告，内容应当主要包括：举办者、培养目标、办学规模、办学层次、办学形式、办学条件、内部管理体制、经费筹措与管理使用等；</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（二）举办者的姓名、住址或者名称、地址；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（三）资产来源、资金数额及有效证明文件，并载明产权；</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（四）属捐赠性质的校产须提交捐赠协议，载明捐赠人的姓名、所捐资产的数额、用途和管理方法及相关有效证明文件。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第十四条 审批机关应当自受理筹设民办学校的申请之日起三十日内以书面形式作出是否同意的决定。</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同意筹设的，发给筹设批准书。不同意筹设的，应当说明理由。</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筹设期不得超过三年。超过三年的，举办者应当重新申报。</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第十五条 申请正式设立民办学校的，举办者应当向审批机关提交下列材料：</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（一）筹设批准书；</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（二）筹设情况报告；</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（三）学校章程、首届学校理事会、董事会或者其他决策机构组成人员名单；</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（四）学校资产的有效证明文件；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（五）校长、教师、财会人员的资格证明文件。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第十六条 具备办学条件，达到设置标准的，可以直接申请正式设立，并应当提交本法第十三条和第十五条（三）、（四）、（五）项规定的材料。</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第十七条 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第十八条 审批机关对批准正式设立的民办学校发给办学许可证。</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审批机关对不批准正式设立的，应当说明理由。</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第十九条 民办学校的举办者可以自主选择设立非营利性或者营利性民办学校。但是，不得设立实施义务教育的营利性民办学校。</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非营利性民办学校的举办者不得取得办学收益,学校的办学结余全部用于办学。</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营利性民办学校的举办者可以取得办学收益,学校的办学结余依照公司法等有关法律、行政法规的规定处理。</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民办学校取得办学许可证后,进行法人登记,登记机关应当依法予以办理。</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第三章</w:t>
      </w:r>
      <w:r>
        <w:rPr>
          <w:rFonts w:hint="eastAsia" w:ascii="黑体" w:hAnsi="黑体" w:eastAsia="黑体" w:cs="黑体"/>
          <w:b w:val="0"/>
          <w:bCs w:val="0"/>
          <w:color w:val="auto"/>
          <w:kern w:val="0"/>
          <w:sz w:val="28"/>
          <w:szCs w:val="28"/>
          <w:lang w:val="en-US" w:eastAsia="zh-CN"/>
        </w:rPr>
        <w:t xml:space="preserve">  </w:t>
      </w:r>
      <w:r>
        <w:rPr>
          <w:rFonts w:hint="eastAsia" w:ascii="黑体" w:hAnsi="黑体" w:eastAsia="黑体" w:cs="黑体"/>
          <w:b w:val="0"/>
          <w:bCs w:val="0"/>
          <w:color w:val="auto"/>
          <w:kern w:val="0"/>
          <w:sz w:val="28"/>
          <w:szCs w:val="28"/>
        </w:rPr>
        <w:t>学校的组织与活动</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第二十条 民办学校应当设立学校理事会、董事会或者其他形式的决策机构并建立相应的监督机制。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民办学校的举办者根据学校章程规定的权限和程序参与学校的办学和管理。</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第二十一条 学校理事会或者董事会由举办者或者其代表、校长、教职工代表等人员组成。其中三分之一以上的理事或者董事应当具有五年以上教育教学经验。</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学校理事会或者董事会由五人以上组成，设理事长或者董事长一人。理事长、理事或者董事长、董事名单报审批机关备案。</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第二十二条 学校理事会或者董事会行使下列职权：</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（一）聘任和解聘校长；</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（二）修改学校章程和制定学校的规章制度；</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（三）制定发展规划，批准年度工作计划；</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（四）筹集办学经费，审核预算、决算；</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（五）决定教职工的编制定额和工资标准；</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（六）决定学校的分立、合并、终止；</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（七）决定其他重大事项。</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其他形式决策机构的职权参照本条规定执行。</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第二十三条 民办学校的法定代表人由理事长、董事长或者校长担任。</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第二十四条 民办学校参照同级同类公办学校校长任职的条件聘任校长，年龄可以适当放宽。</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第二十五条 民办学校校长负责学校的教育教学和行政管理工作，行使下列职权：</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（一）执行学校理事会、董事会或者其他形式决策机构的决定；</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（二）实施发展规划，拟订年度工作计划、财务预算和学校规章制度；</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（三）聘任和解聘学校工作人员，实施奖惩；</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（四）组织教育教学、科学研究活动，保证教育教学质量；</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（五）负责学校日常管理工作；</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（六）学校理事会、董事会或者其他形式决策机构的其他授权。</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第二十六条 民办学校对招收的学生，根据其类别、修业年限、学业成绩，可以根据国家有关规定发给学历证书、结业证书或者培训合格证书。</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对接受职业技能培训的学生，经政府批准的职业技能鉴定机构鉴定合格的，可以发给国家职业资格证书。</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第二十七条 民办学校依法通过以教师为主体的教职工代表大会等形式，保障教职工参与民主管理和监督。</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民办学校的教师和其他工作人员，有权依照工会法，建立工会组织，维护其合法权益。</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第四章</w:t>
      </w:r>
      <w:r>
        <w:rPr>
          <w:rFonts w:hint="eastAsia" w:ascii="黑体" w:hAnsi="黑体" w:eastAsia="黑体" w:cs="黑体"/>
          <w:b w:val="0"/>
          <w:bCs w:val="0"/>
          <w:color w:val="auto"/>
          <w:kern w:val="0"/>
          <w:sz w:val="28"/>
          <w:szCs w:val="28"/>
          <w:lang w:val="en-US" w:eastAsia="zh-CN"/>
        </w:rPr>
        <w:t xml:space="preserve">  </w:t>
      </w:r>
      <w:r>
        <w:rPr>
          <w:rFonts w:hint="eastAsia" w:ascii="黑体" w:hAnsi="黑体" w:eastAsia="黑体" w:cs="黑体"/>
          <w:b w:val="0"/>
          <w:bCs w:val="0"/>
          <w:color w:val="auto"/>
          <w:kern w:val="0"/>
          <w:sz w:val="28"/>
          <w:szCs w:val="28"/>
        </w:rPr>
        <w:t>教师与受教育者</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第二十八条 民办学校的教师、受教育者与公办学校的教师、受教育者具有同等的法律地位。</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第二十九条 民办学校聘任的教师，应当具有国家规定的任教资格。</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第三十条 民办学校应当对教师进行思想品德教育和业务培训。</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第三十一条 民办学校应当依法保障教职工的工资、福利待遇和其他合法权益，并为教职工缴纳社会保险费。</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国家鼓励民办学校按照国家规定为教职工办理补充养老保险。</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第三十二条 民办学校教职工在业务培训、职务聘任、教龄和工龄计算、表彰奖励、社会活动等方面依法享有与公办学校教职工同等权利。</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第三十三条 民办学校依法保障受教育者的合法权益。</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民办学校按照国家规定建立学籍管理制度，对受教育者实施奖励或者处分。</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第三十四条 民办学校的受教育者在升学、就业、社会优待以及参加先进评选等方面享有与同级同类公办学校的受教育者同等权利。</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第五章</w:t>
      </w:r>
      <w:r>
        <w:rPr>
          <w:rFonts w:hint="eastAsia" w:ascii="黑体" w:hAnsi="黑体" w:eastAsia="黑体" w:cs="黑体"/>
          <w:b w:val="0"/>
          <w:bCs w:val="0"/>
          <w:color w:val="auto"/>
          <w:kern w:val="0"/>
          <w:sz w:val="28"/>
          <w:szCs w:val="28"/>
          <w:lang w:val="en-US" w:eastAsia="zh-CN"/>
        </w:rPr>
        <w:t xml:space="preserve">  </w:t>
      </w:r>
      <w:r>
        <w:rPr>
          <w:rFonts w:hint="eastAsia" w:ascii="黑体" w:hAnsi="黑体" w:eastAsia="黑体" w:cs="黑体"/>
          <w:b w:val="0"/>
          <w:bCs w:val="0"/>
          <w:color w:val="auto"/>
          <w:kern w:val="0"/>
          <w:sz w:val="28"/>
          <w:szCs w:val="28"/>
        </w:rPr>
        <w:t>学校资产与财务管理</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第三十五条 民办学校应当依法建立财务、会计制度和资产管理制度，并按照国家有关规定设置会计帐簿。</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第三十六条 民办学校对举办者投入民办学校的资产、国有资产、受赠的财产以及办学积累，享有法人财产权。</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第三十七条 民办学校存续期间，所有资产由民办学校依法管理和使用，任何组织和个人不得侵占。</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任何组织和个人都不得违反法律、法规向民办教育机构收取任何费用。</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第三十八条 民办学校收取费用的项目和标准根据办学成本、市场需求等因素确定，向社会公示，并接受有关主管部门的监督。</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非营利性民办学校收费的具体办法,由省、自治区、直辖市人民政府制定;营利性民办学校的收费标准,实行市场调节,由学校自主决定。</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民办学校收取的费用应当主要用于教育教学活动、改善办学条件和保障教职工待遇。</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第三十九条 民办学校资产的使用和财务管理受审批机关和其他有关部门的监督。</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民办学校应当在每个会计年度结束时制作财务会计报告，委托会计师事务所依法进行审计，并公布审计结果。</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第六章</w:t>
      </w:r>
      <w:r>
        <w:rPr>
          <w:rFonts w:hint="eastAsia" w:ascii="黑体" w:hAnsi="黑体" w:eastAsia="黑体" w:cs="黑体"/>
          <w:b w:val="0"/>
          <w:bCs w:val="0"/>
          <w:color w:val="auto"/>
          <w:kern w:val="0"/>
          <w:sz w:val="28"/>
          <w:szCs w:val="28"/>
          <w:lang w:val="en-US" w:eastAsia="zh-CN"/>
        </w:rPr>
        <w:t xml:space="preserve">  </w:t>
      </w:r>
      <w:r>
        <w:rPr>
          <w:rFonts w:hint="eastAsia" w:ascii="黑体" w:hAnsi="黑体" w:eastAsia="黑体" w:cs="黑体"/>
          <w:b w:val="0"/>
          <w:bCs w:val="0"/>
          <w:color w:val="auto"/>
          <w:kern w:val="0"/>
          <w:sz w:val="28"/>
          <w:szCs w:val="28"/>
        </w:rPr>
        <w:t>管理与监督</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kern w:val="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第四十条 教育行政部门及有关部门应当对民办学校的教育教学工作、教师培训工作进行指导。</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第四十一条 教育行政部门及有关部门依法对民办学校实行督导，建立民办学校信息公示和信用档案制度，促进提高办学质量；组织或者委托社会中介组织评估办学水平和教育质量，并将评估结果向社会公布。</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第四十二条 民办学校的招生简章和广告，应当报审批机关备案。</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第四十三条 民办学校侵犯受教育者的合法权益，受教育者及其亲属有权向教育行政部门和其他有关部门申诉，有关部门应当及时予以处理。</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第四十四条 国家支持和鼓励社会中介组织为民办学校提供服务。</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第七章</w:t>
      </w:r>
      <w:r>
        <w:rPr>
          <w:rFonts w:hint="eastAsia" w:ascii="黑体" w:hAnsi="黑体" w:eastAsia="黑体" w:cs="黑体"/>
          <w:b w:val="0"/>
          <w:bCs w:val="0"/>
          <w:color w:val="auto"/>
          <w:kern w:val="0"/>
          <w:sz w:val="28"/>
          <w:szCs w:val="28"/>
          <w:lang w:val="en-US" w:eastAsia="zh-CN"/>
        </w:rPr>
        <w:t xml:space="preserve">  </w:t>
      </w:r>
      <w:r>
        <w:rPr>
          <w:rFonts w:hint="eastAsia" w:ascii="黑体" w:hAnsi="黑体" w:eastAsia="黑体" w:cs="黑体"/>
          <w:b w:val="0"/>
          <w:bCs w:val="0"/>
          <w:color w:val="auto"/>
          <w:kern w:val="0"/>
          <w:sz w:val="28"/>
          <w:szCs w:val="28"/>
        </w:rPr>
        <w:t>扶持与奖励</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第四十五条 县级以上各级人民政府可以设立专项资金，用于资助民办学校的发展，奖励和表彰有突出贡献的集体和个人。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第四十六条 县级以上各级人民政府可以采取购买服务、助学贷款、奖助学金和出租、转让闲置的国有资产等措施对民办学校予以扶持;对非营利性民办学校还可以采取政府补贴、基金奖励、捐资激励等扶持措施。</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第四十七条 民办学校享受国家规定的税收优惠政策；其中，非营利性民办学校享受与公办学校同等的税收优惠政策。</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第四十八条 民办学校依照国家有关法律、法规，可以接受公民、法人或者其他组织的捐赠。</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国家对向民办学校捐赠财产的公民、法人或者其他组织按照有关规定给予税收优惠，并予以表彰。</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第四十九条 国家鼓励金融机构运用信贷手段，支持民办教育事业的发展。</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第五十条 人民政府委托民办学校承担义务教育任务，应当按照委托协议拨付相应的教育经费。</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第五十一条 新建、扩建非营利性民办学校,人民政府应当按照与公办学校同等原则,以划拨等方式给予用地优惠。新建、扩建营利性民办学校,人民政府应当按照国家规定供给土地。</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教育用地不得用于其他用途。</w:t>
      </w:r>
    </w:p>
    <w:p>
      <w:pPr>
        <w:keepNext w:val="0"/>
        <w:keepLines w:val="0"/>
        <w:pageBreakBefore w:val="0"/>
        <w:widowControl w:val="0"/>
        <w:kinsoku/>
        <w:wordWrap/>
        <w:overflowPunct/>
        <w:topLinePunct w:val="0"/>
        <w:autoSpaceDE/>
        <w:autoSpaceDN/>
        <w:bidi w:val="0"/>
        <w:adjustRightInd/>
        <w:snapToGrid/>
        <w:spacing w:line="440" w:lineRule="exact"/>
        <w:ind w:firstLine="48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第五十二条 国家采取措施，支持和鼓励社会组织和个人到少数民族地区、边远贫困地区举办民办学校，发展教育事业。</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第八章</w:t>
      </w:r>
      <w:r>
        <w:rPr>
          <w:rFonts w:hint="eastAsia" w:ascii="黑体" w:hAnsi="黑体" w:eastAsia="黑体" w:cs="黑体"/>
          <w:b w:val="0"/>
          <w:bCs w:val="0"/>
          <w:color w:val="auto"/>
          <w:kern w:val="0"/>
          <w:sz w:val="28"/>
          <w:szCs w:val="28"/>
          <w:lang w:val="en-US" w:eastAsia="zh-CN"/>
        </w:rPr>
        <w:t xml:space="preserve">  </w:t>
      </w:r>
      <w:r>
        <w:rPr>
          <w:rFonts w:hint="eastAsia" w:ascii="黑体" w:hAnsi="黑体" w:eastAsia="黑体" w:cs="黑体"/>
          <w:b w:val="0"/>
          <w:bCs w:val="0"/>
          <w:color w:val="auto"/>
          <w:kern w:val="0"/>
          <w:sz w:val="28"/>
          <w:szCs w:val="28"/>
        </w:rPr>
        <w:t>变更与终止</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第五十三条 民办学校的分立、合并，在进行财务清算后，由学校理事会或者董事会报审批机关批准。</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申请分立、合并民办学校的，审批机关应当自受理之日起三个月内以书面形式答复；其中申请分立、合并民办高等学校的，审批机关也可以自受理之日起六个月内以书面形式答复。</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第五十四条 民办学校举办者的变更，须由举办者提出，在进行财务清算后，经学校理事会或者董事会同意，报审批机关核准。</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第五十五条 民办学校名称、层次、类别的变更，由学校理事会或者董事会报审批机关批准。</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申请变更为其他民办学校，审批机关应当自受理之日起三个月内以书面形式答复；其中申请变更为民办高等学校的，审批机关也可以自受理之日起六个月内以书面形式答复。</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第五十六条 民办学校有下列情形之一的，应当终止：</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（一）根据学校章程规定要求终止，并经审批机关批准的；</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（二）被吊销办学许可证的；</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（三）因资不抵债无法继续办学的。</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第五十七条 民办学校终止时，应当妥善安置在校学生。实施义务教育的民办学校终止时，审批机关应当协助学校安排学生继续就学。</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第五十八条 民办学校终止时，应当依法进行财务清算。</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民办学校自己要求终止的，由民办学校组织清算；被审批机关依法撤销的，由审批机关组织清算；因资不抵债无法继续办学而被终止的，由人民法院组织清算。</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第五十九条 对民办学校的财产按照下列顺序清偿：</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（一）应退受教育者学费、杂费和其他费用；</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（二）应发教职工的工资及应缴纳的社会保险费用；</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（三）偿还其他债务。</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非营利性民办学校清偿上述债务后的剩余财产继续用于其他非营利性学校办学;营利性民办学校清偿上述债务后的剩余财产,依照公司法的有关规定处理。</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第六十条 终止的民办学校，由审批机关收回办学许可证和销毁印章，并注销登记。</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第九章</w:t>
      </w:r>
      <w:r>
        <w:rPr>
          <w:rFonts w:hint="eastAsia" w:ascii="黑体" w:hAnsi="黑体" w:eastAsia="黑体" w:cs="黑体"/>
          <w:b w:val="0"/>
          <w:bCs w:val="0"/>
          <w:color w:val="auto"/>
          <w:kern w:val="0"/>
          <w:sz w:val="28"/>
          <w:szCs w:val="28"/>
          <w:lang w:val="en-US" w:eastAsia="zh-CN"/>
        </w:rPr>
        <w:t xml:space="preserve">  </w:t>
      </w:r>
      <w:r>
        <w:rPr>
          <w:rFonts w:hint="eastAsia" w:ascii="黑体" w:hAnsi="黑体" w:eastAsia="黑体" w:cs="黑体"/>
          <w:b w:val="0"/>
          <w:bCs w:val="0"/>
          <w:color w:val="auto"/>
          <w:kern w:val="0"/>
          <w:sz w:val="28"/>
          <w:szCs w:val="28"/>
        </w:rPr>
        <w:t>法律责任</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第六十一条 民办学校在教育活动中违反教育法、教师法规定的，依照教育法、教师法的有关规定给予处罚。</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（一）擅自分立、合并民办学校的；</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（二）擅自改变民办学校名称、层次、类别和举办者的；</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（三）发布虚假招生简章或者广告，骗取钱财的；</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（四）非法颁发或者伪造学历证书、结业证书、培训证书、职业资格证书的；</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（五）管理混乱严重影响教育教学，产生恶劣社会影响的；</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（六）提交虚假证明文件或者采取其他欺诈手段隐瞒重要事实骗取办学许可证的；</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（七）伪造、变造、买卖、出租、出借办学许可证的；</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（八）恶意终止办学、抽逃资金或者挪用办学经费的。</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（一）已受理设立申请，逾期不予答复的；</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（二）批准不符合本法规定条件申请的；</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（三）疏于管理，造成严重后果的；</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（四）违反国家有关规定收取费用的；</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（五）侵犯民办学校合法权益的；</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（六）其他滥用职权、徇私舞弊的。</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第六十四条 违反国家有关规定擅自举办民办学校的,由所在地县级以上地方人民政府教育行政部门或者人力资源社会保障行政部门会同同级公安、民政或者工商行政管理等有关部门责令停止办学、退还所收费用,并对举办者处违法所得一倍以上五倍以下罚款;构成违反治安管理行为的,由公安机关依法给予治安管理处罚;构成犯罪的,依法追究刑事责任。</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第十章 附 则</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第六十五条 本法所称的民办学校包括依法举办的其他民办教育机构。</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本法所称的校长包括其他民办教育机构的主要行政负责人。</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第六十六条 境外的组织和个人在中国境内合作办学的办法，由国务院规定。</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第六十七条 本法自2003年9月1日起施行。1997年7月31日国务院颁布的《社会力量办学条例》同时废止。</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br w:type="page"/>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240" w:lineRule="auto"/>
        <w:jc w:val="center"/>
        <w:textAlignment w:val="auto"/>
        <w:outlineLvl w:val="0"/>
        <w:rPr>
          <w:rStyle w:val="8"/>
          <w:rFonts w:hint="eastAsia" w:ascii="方正小标宋简体" w:hAnsi="方正小标宋简体" w:eastAsia="方正小标宋简体" w:cs="方正小标宋简体"/>
          <w:b w:val="0"/>
          <w:bCs w:val="0"/>
          <w:color w:val="auto"/>
          <w:sz w:val="32"/>
          <w:szCs w:val="32"/>
          <w:lang w:eastAsia="zh-CN"/>
        </w:rPr>
      </w:pPr>
      <w:bookmarkStart w:id="3" w:name="_Toc27017"/>
      <w:r>
        <w:rPr>
          <w:rStyle w:val="8"/>
          <w:rFonts w:hint="eastAsia" w:ascii="方正小标宋简体" w:hAnsi="方正小标宋简体" w:eastAsia="方正小标宋简体" w:cs="方正小标宋简体"/>
          <w:b w:val="0"/>
          <w:bCs w:val="0"/>
          <w:color w:val="auto"/>
          <w:sz w:val="32"/>
          <w:szCs w:val="32"/>
        </w:rPr>
        <w:t>中华人民共和国监察法</w:t>
      </w:r>
      <w:bookmarkEnd w:id="3"/>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240" w:lineRule="auto"/>
        <w:jc w:val="center"/>
        <w:textAlignment w:val="auto"/>
        <w:outlineLvl w:val="0"/>
        <w:rPr>
          <w:rFonts w:hint="eastAsia" w:ascii="方正小标宋简体" w:hAnsi="方正小标宋简体" w:eastAsia="方正小标宋简体" w:cs="方正小标宋简体"/>
          <w:b w:val="0"/>
          <w:bCs w:val="0"/>
          <w:color w:val="auto"/>
          <w:sz w:val="32"/>
          <w:szCs w:val="32"/>
        </w:rPr>
      </w:pPr>
      <w:bookmarkStart w:id="4" w:name="_Toc14237"/>
      <w:r>
        <w:rPr>
          <w:rStyle w:val="8"/>
          <w:rFonts w:hint="eastAsia" w:ascii="方正小标宋简体" w:hAnsi="方正小标宋简体" w:eastAsia="方正小标宋简体" w:cs="方正小标宋简体"/>
          <w:b w:val="0"/>
          <w:bCs w:val="0"/>
          <w:color w:val="auto"/>
          <w:sz w:val="32"/>
          <w:szCs w:val="32"/>
        </w:rPr>
        <w:t>（2018年3月20日第十三届全国人民代表大会第一次会议通过）</w:t>
      </w:r>
      <w:bookmarkEnd w:id="4"/>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440" w:lineRule="exact"/>
        <w:jc w:val="center"/>
        <w:textAlignment w:val="auto"/>
        <w:rPr>
          <w:rStyle w:val="8"/>
          <w:rFonts w:hint="eastAsia" w:ascii="仿宋_GB2312" w:hAnsi="仿宋_GB2312" w:eastAsia="仿宋_GB2312" w:cs="仿宋_GB2312"/>
          <w:color w:val="auto"/>
          <w:sz w:val="24"/>
          <w:szCs w:val="24"/>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黑体" w:hAnsi="黑体" w:eastAsia="黑体" w:cs="黑体"/>
          <w:b/>
          <w:bCs/>
          <w:color w:val="auto"/>
          <w:sz w:val="32"/>
          <w:szCs w:val="32"/>
        </w:rPr>
      </w:pPr>
      <w:r>
        <w:rPr>
          <w:rStyle w:val="8"/>
          <w:rFonts w:hint="eastAsia" w:ascii="黑体" w:hAnsi="黑体" w:eastAsia="黑体" w:cs="黑体"/>
          <w:b/>
          <w:bCs/>
          <w:color w:val="auto"/>
          <w:sz w:val="32"/>
          <w:szCs w:val="32"/>
        </w:rPr>
        <w:t>目　　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黑体" w:hAnsi="黑体" w:eastAsia="黑体" w:cs="黑体"/>
          <w:color w:val="auto"/>
          <w:sz w:val="28"/>
          <w:szCs w:val="28"/>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第一章　总　　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第二章　监察机关及其职责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第三章　监察范围和管辖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第四章　监察权限</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第五章　监察程序</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第六章　反腐败国际合作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第七章　对监察机关和监察人员的监督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第八章　法律责任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第九章　附　　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440" w:lineRule="exact"/>
        <w:jc w:val="center"/>
        <w:textAlignment w:val="auto"/>
        <w:rPr>
          <w:rStyle w:val="8"/>
          <w:rFonts w:hint="eastAsia" w:ascii="仿宋_GB2312" w:hAnsi="仿宋_GB2312" w:eastAsia="仿宋_GB2312" w:cs="仿宋_GB2312"/>
          <w:color w:val="auto"/>
          <w:sz w:val="24"/>
          <w:szCs w:val="24"/>
        </w:rPr>
      </w:pPr>
      <w:r>
        <w:rPr>
          <w:rStyle w:val="8"/>
          <w:rFonts w:hint="eastAsia" w:ascii="仿宋_GB2312" w:hAnsi="仿宋_GB2312" w:eastAsia="仿宋_GB2312" w:cs="仿宋_GB2312"/>
          <w:color w:val="auto"/>
          <w:sz w:val="24"/>
          <w:szCs w:val="24"/>
        </w:rPr>
        <w:br w:type="page"/>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黑体" w:hAnsi="黑体" w:eastAsia="黑体" w:cs="黑体"/>
          <w:b w:val="0"/>
          <w:bCs w:val="0"/>
          <w:color w:val="auto"/>
          <w:sz w:val="28"/>
          <w:szCs w:val="28"/>
        </w:rPr>
      </w:pPr>
      <w:r>
        <w:rPr>
          <w:rStyle w:val="8"/>
          <w:rFonts w:hint="eastAsia" w:ascii="黑体" w:hAnsi="黑体" w:eastAsia="黑体" w:cs="黑体"/>
          <w:b w:val="0"/>
          <w:bCs w:val="0"/>
          <w:color w:val="auto"/>
          <w:sz w:val="28"/>
          <w:szCs w:val="28"/>
        </w:rPr>
        <w:t>第一章</w:t>
      </w:r>
      <w:r>
        <w:rPr>
          <w:rStyle w:val="8"/>
          <w:rFonts w:hint="eastAsia" w:ascii="黑体" w:hAnsi="黑体" w:eastAsia="黑体" w:cs="黑体"/>
          <w:b w:val="0"/>
          <w:bCs w:val="0"/>
          <w:color w:val="auto"/>
          <w:sz w:val="28"/>
          <w:szCs w:val="28"/>
          <w:lang w:val="en-US"/>
        </w:rPr>
        <w:t xml:space="preserve">  </w:t>
      </w:r>
      <w:r>
        <w:rPr>
          <w:rStyle w:val="8"/>
          <w:rFonts w:hint="eastAsia" w:ascii="黑体" w:hAnsi="黑体" w:eastAsia="黑体" w:cs="黑体"/>
          <w:b w:val="0"/>
          <w:bCs w:val="0"/>
          <w:color w:val="auto"/>
          <w:sz w:val="28"/>
          <w:szCs w:val="28"/>
        </w:rPr>
        <w:t>总</w:t>
      </w:r>
      <w:r>
        <w:rPr>
          <w:rStyle w:val="8"/>
          <w:rFonts w:hint="eastAsia" w:ascii="黑体" w:hAnsi="黑体" w:eastAsia="黑体" w:cs="黑体"/>
          <w:b w:val="0"/>
          <w:bCs w:val="0"/>
          <w:color w:val="auto"/>
          <w:sz w:val="28"/>
          <w:szCs w:val="28"/>
          <w:lang w:val="en-US"/>
        </w:rPr>
        <w:t xml:space="preserve">  </w:t>
      </w:r>
      <w:r>
        <w:rPr>
          <w:rStyle w:val="8"/>
          <w:rFonts w:hint="eastAsia" w:ascii="黑体" w:hAnsi="黑体" w:eastAsia="黑体" w:cs="黑体"/>
          <w:b w:val="0"/>
          <w:bCs w:val="0"/>
          <w:color w:val="auto"/>
          <w:sz w:val="28"/>
          <w:szCs w:val="28"/>
        </w:rPr>
        <w:t>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黑体" w:hAnsi="黑体" w:eastAsia="黑体" w:cs="黑体"/>
          <w:b w:val="0"/>
          <w:bCs w:val="0"/>
          <w:color w:val="auto"/>
          <w:sz w:val="28"/>
          <w:szCs w:val="28"/>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第一条　为了深化国家监察体制改革，加强对所有行使公权力的公职人员的监督，实现国家监察全面覆盖，深入开展反腐败工作，推进国家治理体系和治理能力现代化，根据宪法，制定本法。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第二条　坚持中国共产党对国家监察工作的领导，以马克思列宁主义、毛泽东思想、邓小平理论、“三个代表”重要思想、科学发展观、习近平新时代中国特色社会主义思想为指导，构建集中统一、权威高效的中国特色国家监察体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第三条　各级监察委员会是行使国家监察职能的专责机关，依照本法对所有行使公权力的公职人员（以下称公职人员）进行监察，调查职务违法和职务犯罪，开展廉政建设和反腐败工作，维护宪法和法律的尊严。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第四条　监察委员会依照法律规定独立行使监察权，不受行政机关、社会团体和个人的干涉。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监察机关办理职务违法和职务犯罪案件，应当与审判机关、检察机关、执法部门互相配合，互相制约。</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监察机关在工作中需要协助的，有关机关和单位应当根据监察机关的要求依法予以协助。</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第五条　国家监察工作严格遵照宪法和法律，以事实为根据，以法律为准绳；在适用法律上一律平等，保障当事人的合法权益；权责对等，严格监督；惩戒与教育相结合，宽严相济。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第六条　国家监察工作坚持标本兼治、综合治理，强化监督问责，严厉惩治腐败；深化改革、健全法治，有效制约和监督权力；加强法治教育和道德教育，弘扬中华优秀传统文化，构建不敢腐、不能腐、不想腐的长效机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_GB2312" w:hAnsi="仿宋_GB2312" w:eastAsia="仿宋_GB2312" w:cs="仿宋_GB2312"/>
          <w:color w:val="auto"/>
          <w:sz w:val="24"/>
          <w:szCs w:val="24"/>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黑体" w:hAnsi="黑体" w:eastAsia="黑体" w:cs="黑体"/>
          <w:b w:val="0"/>
          <w:bCs w:val="0"/>
          <w:color w:val="auto"/>
          <w:sz w:val="28"/>
          <w:szCs w:val="28"/>
        </w:rPr>
      </w:pPr>
      <w:r>
        <w:rPr>
          <w:rStyle w:val="8"/>
          <w:rFonts w:hint="eastAsia" w:ascii="黑体" w:hAnsi="黑体" w:eastAsia="黑体" w:cs="黑体"/>
          <w:b w:val="0"/>
          <w:bCs w:val="0"/>
          <w:color w:val="auto"/>
          <w:sz w:val="28"/>
          <w:szCs w:val="28"/>
        </w:rPr>
        <w:t>第二章　监察机关及其职责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第七条　中华人民共和国国家监察委员会是最高监察机关。</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省、自治区、直辖市、自治州、县、自治县、市、市辖区设立监察委员会。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第八条　国家监察委员会由全国人民代表大会产生，负责全国监察工作。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国家监察委员会由主任、副主任若干人、委员若干人组成，主任由全国人民代表大会选举，副主任、委员由国家监察委员会主任提请全国人民代表大会常务委员会任免。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国家监察委员会主任每届任期同全国人民代表大会每届任期相同，连续任职不得超过两届。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国家监察委员会对全国人民代表大会及其常务委员会负责，并接受其监督。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第九条　地方各级监察委员会由本级人民代表大会产生，负责本行政区域内的监察工作。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地方各级监察委员会由主任、副主任若干人、委员若干人组成，主任由本级人民代表大会选举，副主任、委员由监察委员会主任提请本级人民代表大会常务委员会任免。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地方各级监察委员会主任每届任期同本级人民代表大会每届任期相同。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地方各级监察委员会对本级人民代表大会及其常务委员会和上一级监察委员会负责，并接受其监督。</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第十条　国家监察委员会领导地方各级监察委员会的工作，上级监察委员会领导下级监察委员会的工作。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第十一条　监察委员会依照本法和有关法律规定履行监督、调查、处置职责：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（一）对公职人员开展廉政教育，对其依法履职、秉公用权、廉洁从政从业以及道德操守情况进行监督检查；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（二）对涉嫌贪污贿赂、滥用职权、玩忽职守、权力寻租、利益输送、徇私舞弊以及浪费国家资财等职务违法和职务犯罪进行调查；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（三）对违法的公职人员依法作出政务处分决定；对履行职责不力、失职失责的领导人员进行问责；对涉嫌职务犯罪的，将调查结果移送人民检察院依法审查、提起公诉；向监察对象所在单位提出监察建议。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第十二条　各级监察委员会可以向本级中国共产党机关、国家机关、法律法规授权或者委托管理公共事务的组织和单位以及所管辖的行政区域、国有企业等派驻或者派出监察机构、监察专员。</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监察机构、监察专员对派驻或者派出它的监察委员会负责。</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第十三条　派驻或者派出的监察机构、监察专员根据授权，按照管理权限依法对公职人员进行监督，提出监察建议，依法对公职人员进行调查、处置。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第十四条　国家实行监察官制度，依法确定监察官的等级设置、任免、考评和晋升等制度。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_GB2312" w:hAnsi="仿宋_GB2312" w:eastAsia="仿宋_GB2312" w:cs="仿宋_GB2312"/>
          <w:color w:val="auto"/>
          <w:sz w:val="24"/>
          <w:szCs w:val="24"/>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黑体" w:hAnsi="黑体" w:eastAsia="黑体" w:cs="黑体"/>
          <w:b w:val="0"/>
          <w:bCs w:val="0"/>
          <w:color w:val="auto"/>
          <w:sz w:val="28"/>
          <w:szCs w:val="28"/>
        </w:rPr>
      </w:pPr>
      <w:r>
        <w:rPr>
          <w:rStyle w:val="8"/>
          <w:rFonts w:hint="eastAsia" w:ascii="黑体" w:hAnsi="黑体" w:eastAsia="黑体" w:cs="黑体"/>
          <w:b w:val="0"/>
          <w:bCs w:val="0"/>
          <w:color w:val="auto"/>
          <w:sz w:val="28"/>
          <w:szCs w:val="28"/>
        </w:rPr>
        <w:t>第三章　监察范围和管辖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第十五条　监察机关对下列公职人员和有关人员进行监察：</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（二）法律、法规授权或者受国家机关依法委托管理公共事务的组织中从事公务的人员；</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（三）国有企业管理人员；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（四）公办的教育、科研、文化、医疗卫生、体育等单位中从事管理的人员；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（五）基层群众性自治组织中从事管理的人员；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（六）其他依法履行公职的人员。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第十六条　各级监察机关按照管理权限管辖本辖区内本法第十五条规定的人员所涉监察事项。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上级监察机关可以办理下一级监察机关管辖范围内的监察事项，必要时也可以办理所辖各级监察机关管辖范围内的监察事项。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监察机关之间对监察事项的管辖有争议的，由其共同的上级监察机关确定。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第十七条　上级监察机关可以将其所管辖的监察事项指定下级监察机关管辖，也可以将下级监察机关有管辖权的监察事项指定给其他监察机关管辖。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监察机关认为所管辖的监察事项重大、复杂，需要由上级监察机关管辖的，可以报请上级监察机关管辖。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_GB2312" w:hAnsi="仿宋_GB2312" w:eastAsia="仿宋_GB2312" w:cs="仿宋_GB2312"/>
          <w:color w:val="auto"/>
          <w:sz w:val="24"/>
          <w:szCs w:val="24"/>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黑体" w:hAnsi="黑体" w:eastAsia="黑体" w:cs="黑体"/>
          <w:b w:val="0"/>
          <w:bCs w:val="0"/>
          <w:color w:val="auto"/>
          <w:sz w:val="28"/>
          <w:szCs w:val="28"/>
        </w:rPr>
      </w:pPr>
      <w:r>
        <w:rPr>
          <w:rStyle w:val="8"/>
          <w:rFonts w:hint="eastAsia" w:ascii="黑体" w:hAnsi="黑体" w:eastAsia="黑体" w:cs="黑体"/>
          <w:b w:val="0"/>
          <w:bCs w:val="0"/>
          <w:color w:val="auto"/>
          <w:sz w:val="28"/>
          <w:szCs w:val="28"/>
        </w:rPr>
        <w:t>第四章　监察权限</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第十八条　监察机关行使监督、调查职权，有权依法向有关单位和个人了解情况，收集、调取证据。有关单位和个人应当如实提供。</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监察机关及其工作人员对监督、调查过程中知悉的国家秘密、商业秘密、个人隐私，应当保密。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任何单位和个人不得伪造、隐匿或者毁灭证据。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第十九条　对可能发生职务违法的监察对象，监察机关按照管理权限，可以直接或者委托有关机关、人员进行谈话或者要求说明情况。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第二十条　在调查过程中，对涉嫌职务违法的被调查人，监察机关可以要求其就涉嫌违法行为作出陈述，必要时向被调查人出具书面通知。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对涉嫌贪污贿赂、失职渎职等职务犯罪的被调查人，监察机关可以进行讯问，要求其如实供述涉嫌犯罪的情况。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第二十一条　在调查过程中，监察机关可以询问证人等人员。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第二十二条　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（一）涉及案情重大、复杂的；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（二）可能逃跑、自杀的；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（三）可能串供或者伪造、隐匿、毁灭证据的；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（四）可能有其他妨碍调查行为的。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对涉嫌行贿犯罪或者共同职务犯罪的涉案人员，监察机关可以依照前款规定采取留置措施。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留置场所的设置、管理和监督依照国家有关规定执行。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第二十三条　监察机关调查涉嫌贪污贿赂、失职渎职等严重职务违法或者职务犯罪，根据工作需要，可以依照规定查询、冻结涉案单位和个人的存款、汇款、债券、股票、基金份额等财产。有关单位和个人应当配合。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冻结的财产经查明与案件无关的，应当在查明后三日内解除冻结，予以退还。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第二十四条　监察机关可以对涉嫌职务犯罪的被调查人以及可能隐藏被调查人或者犯罪证据的人的身体、物品、住处和其他有关地方进行搜查。在搜查时，应当出示搜查证，并有被搜查人或者其家属等见证人在场。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搜查女性身体，应当由女性工作人员进行。</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监察机关进行搜查时，可以根据工作需要提请公安机关配合。公安机关应当依法予以协助。</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第二十五条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对调取、查封、扣押的财物、文件，监察机关应当设立专用账户、专门场所，确定专门人员妥善保管，严格履行交接、调取手续，定期对账核实，不得毁损或者用于其他目的。对价值不明物品应当及时鉴定，专门封存保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查封、扣押的财物、文件经查明与案件无关的，应当在查明后三日内解除查封、扣押，予以退还。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第二十六条　监察机关在调查过程中，可以直接或者指派、聘请具有专门知识、资格的人员在调查人员主持下进行勘验检查。勘验检查情况应当制作笔录，由参加勘验检查的人员和见证人签名或者盖章。</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第二十七条　监察机关在调查过程中，对于案件中的专门性问题，可以指派、聘请有专门知识的人进行鉴定。鉴定人进行鉴定后，应当出具鉴定意见，并且签名。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第二十八条　监察机关调查涉嫌重大贪污贿赂等职务犯罪，根据需要，经过严格的批准手续，可以采取技术调查措施，按照规定交有关机关执行。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第二十九条　依法应当留置的被调查人如果在逃，监察机关可以决定在本行政区域内通缉，由公安机关发布通缉令，追捕归案。通缉范围超出本行政区域的，应当报请有权决定的上级监察机关决定。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第三十条　监察机关为防止被调查人及相关人员逃匿境外，经省级以上监察机关批准，可以对被调查人及相关人员采取限制出境措施，由公安机关依法执行。对于不需要继续采取限制出境措施的，应当及时解除。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第三十一条　涉嫌职务犯罪的被调查人主动认罪认罚，有下列情形之一的，监察机关经领导人员集体研究，并报上一级监察机关批准，可以在移送人民检察院时提出从宽处罚的建议：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（一）自动投案，真诚悔罪悔过的；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（二）积极配合调查工作，如实供述监察机关还未掌握的违法犯罪行为的；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（三）积极退赃，减少损失的；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（四）具有重大立功表现或者案件涉及国家重大利益等情形的。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第三十二条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第三十三条　监察机关依照本法规定收集的物证、书证、证人证言、被调查人供述和辩解、视听资料、电子数据等证据材料，在刑事诉讼中可以作为证据使用。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监察机关在收集、固定、审查、运用证据时，应当与刑事审判关于证据的要求和标准相一致。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以非法方法收集的证据应当依法予以排除，不得作为案件处置的依据。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第三十四条　人民法院、人民检察院、公安机关、审计机关等国家机关在工作中发现公职人员涉嫌贪污贿赂、失职渎职等职务违法或者职务犯罪的问题线索，应当移送监察机关，由监察机关依法调查处置。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被调查人既涉嫌严重职务违法或者职务犯罪，又涉嫌其他违法犯罪的，一般应当由监察机关为主调查，其他机关予以协助。</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_GB2312" w:hAnsi="仿宋_GB2312" w:eastAsia="仿宋_GB2312" w:cs="仿宋_GB2312"/>
          <w:color w:val="auto"/>
          <w:sz w:val="24"/>
          <w:szCs w:val="24"/>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黑体" w:hAnsi="黑体" w:eastAsia="黑体" w:cs="黑体"/>
          <w:b w:val="0"/>
          <w:bCs w:val="0"/>
          <w:color w:val="auto"/>
          <w:sz w:val="28"/>
          <w:szCs w:val="28"/>
        </w:rPr>
      </w:pPr>
      <w:r>
        <w:rPr>
          <w:rStyle w:val="8"/>
          <w:rFonts w:hint="eastAsia" w:ascii="黑体" w:hAnsi="黑体" w:eastAsia="黑体" w:cs="黑体"/>
          <w:b w:val="0"/>
          <w:bCs w:val="0"/>
          <w:color w:val="auto"/>
          <w:sz w:val="28"/>
          <w:szCs w:val="28"/>
        </w:rPr>
        <w:t>第五章</w:t>
      </w:r>
      <w:r>
        <w:rPr>
          <w:rStyle w:val="8"/>
          <w:rFonts w:hint="eastAsia" w:ascii="黑体" w:hAnsi="黑体" w:eastAsia="黑体" w:cs="黑体"/>
          <w:b w:val="0"/>
          <w:bCs w:val="0"/>
          <w:color w:val="auto"/>
          <w:sz w:val="28"/>
          <w:szCs w:val="28"/>
          <w:lang w:val="en-US"/>
        </w:rPr>
        <w:t xml:space="preserve">  </w:t>
      </w:r>
      <w:r>
        <w:rPr>
          <w:rStyle w:val="8"/>
          <w:rFonts w:hint="eastAsia" w:ascii="黑体" w:hAnsi="黑体" w:eastAsia="黑体" w:cs="黑体"/>
          <w:b w:val="0"/>
          <w:bCs w:val="0"/>
          <w:color w:val="auto"/>
          <w:sz w:val="28"/>
          <w:szCs w:val="28"/>
        </w:rPr>
        <w:t>监察程序</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黑体" w:hAnsi="黑体" w:eastAsia="黑体" w:cs="黑体"/>
          <w:b w:val="0"/>
          <w:bCs w:val="0"/>
          <w:color w:val="auto"/>
          <w:sz w:val="28"/>
          <w:szCs w:val="28"/>
        </w:rPr>
      </w:pP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第三十五条　监察机关对于报案或者举报，应当接受并按照有关规定处理。对于不属于本机关管辖的，应当移送主管机关处理。</w:t>
      </w:r>
    </w:p>
    <w:p>
      <w:pPr>
        <w:pStyle w:val="5"/>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第三十六条　监察机关应当严格按照程序开展工作，建立问题线索处置、调查、审理各部门相互协调、相互制约的工作机制。</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监察机关应当加强对调查、处置工作全过程的监督管理，设立相应的工作部门履行线索管理、监督检查、督促办理、统计分析等管理协调职能。</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第三十七条　监察机关对监察对象的问题线索，应当按照有关规定提出处置意见，履行审批手续，进行分类办理。线索处置情况应当定期汇总、通报，定期检查、抽查。</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第三十八条　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第三十九条　经过初步核实，对监察对象涉嫌职务违法犯罪，需要追究法律责任的，监察机关应当按照规定的权限和程序办理立案手续。</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监察机关主要负责人依法批准立案后，应当主持召开专题会议，研究确定调查方案，决定需要采取的调查措施。</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立案调查决定应当向被调查人宣布，并通报相关组织。涉嫌严重职务违法或者职务犯罪的，应当通知被调查人家属，并向社会公开发布。</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第四十条　监察机关对职务违法和职务犯罪案件，应当进行调查，收集被调查人有无违法犯罪以及情节轻重的证据，查明违法犯罪事实，形成相互印证、完整稳定的证据链。</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严禁以威胁、引诱、欺骗及其他非法方式收集证据，严禁侮辱、打骂、虐待、体罚或者变相体罚被调查人和涉案人员。</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第四十一条　调查人员采取讯问、询问、留置、搜查、调取、查封、扣押、勘验检查等调查措施，均应当依照规定出示证件，出具书面通知，由二人以上进行，形成笔录、报告等书面材料，并由相关人员签名、盖章。</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调查人员进行讯问以及搜查、查封、扣押等重要取证工作，应当对全过程进行录音录像，留存备查。</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第四十二条　调查人员应当严格执行调查方案，不得随意扩大调查范围、变更调查对象和事项。</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对调查过程中的重要事项，应当集体研究后按程序请示报告。</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第四十三条　监察机关采取留置措施，应当由监察机关领导人员集体研究决定。设区的市级以下监察机关采取留置措施，应当报上一级监察机关批准。省级监察机关采取留置措施，应当报国家监察委员会备案。</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留置时间不得超过三个月。在特殊情况下，可以延长一次，延长时间不得超过三个月。省级以下监察机关采取留置措施的，延长留置时间应当报上一级监察机关批准。监察机关发现采取留置措施不当的，应当及时解除。</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监察机关采取留置措施，可以根据工作需要提请公安机关配合。公安机关应当依法予以协助。</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第四十四条　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监察机关应当保障被留置人员的饮食、休息和安全，提供医疗服务。讯问被留置人员应当合理安排讯问时间和时长，讯问笔录由被讯问人阅看后签名。</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被留置人员涉嫌犯罪移送司法机关后，被依法判处管制、拘役和有期徒刑的，留置一日折抵管制二日，折抵拘役、有期徒刑一日。</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第四十五条　监察机关根据监督、调查结果，依法作出如下处置：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（一）对有职务违法行为但情节较轻的公职人员，按照管理权限，直接或者委托有关机关、人员，进行谈话提醒、批评教育、责令检查，或者予以诫勉；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（二）对违法的公职人员依照法定程序作出警告、记过、记大过、降级、撤职、开除等政务处分决定；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（三）对不履行或者不正确履行职责负有责任的领导人员，按照管理权限对其直接作出问责决定，或者向有权作出问责决定的机关提出问责建议；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（四）对涉嫌职务犯罪的，监察机关经调查认为犯罪事实清楚，证据确实、充分的，制作起诉意见书，连同案卷材料、证据一并移送人民检察院依法审查、提起公诉；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（五）对监察对象所在单位廉政建设和履行职责存在的问题等提出监察建议。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监察机关经调查，对没有证据证明被调查人存在违法犯罪行为的，应当撤销案件，并通知被调查人所在单位。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第四十六条　监察机关经调查，对违法取得的财物，依法予以没收、追缴或者责令退赔；对涉嫌犯罪取得的财物，应当随案移送人民检察院。</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第四十七条　对监察机关移送的案件，人民检察院依照《中华人民共和国刑事诉讼法》对被调查人采取强制措施。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人民检察院经审查，认为犯罪事实已经查清，证据确实、充分，依法应当追究刑事责任的，应当作出起诉决定。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人民检察院经审查，认为需要补充核实的，应当退回监察机关补充调查，必要时可以自行补充侦查。对于补充调查的案件，应当在一个月内补充调查完毕。补充调查以二次为限。</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人民检察院对于有《中华人民共和国刑事诉讼法》规定的不起诉的情形的，经上一级人民检察院批准，依法作出不起诉的决定。监察机关认为不起诉的决定有错误的，可以向上一级人民检察院提请复议。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第四十八条　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人民法院提出没收违法所得的申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第四十九条　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_GB2312" w:hAnsi="仿宋_GB2312" w:eastAsia="仿宋_GB2312" w:cs="仿宋_GB2312"/>
          <w:color w:val="auto"/>
          <w:sz w:val="24"/>
          <w:szCs w:val="24"/>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黑体" w:hAnsi="黑体" w:eastAsia="黑体" w:cs="黑体"/>
          <w:b w:val="0"/>
          <w:bCs w:val="0"/>
          <w:color w:val="auto"/>
          <w:sz w:val="28"/>
          <w:szCs w:val="28"/>
        </w:rPr>
      </w:pPr>
      <w:r>
        <w:rPr>
          <w:rStyle w:val="8"/>
          <w:rFonts w:hint="eastAsia" w:ascii="黑体" w:hAnsi="黑体" w:eastAsia="黑体" w:cs="黑体"/>
          <w:b w:val="0"/>
          <w:bCs w:val="0"/>
          <w:color w:val="auto"/>
          <w:sz w:val="28"/>
          <w:szCs w:val="28"/>
        </w:rPr>
        <w:t>第六章　反腐败国际合作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黑体" w:hAnsi="黑体" w:eastAsia="黑体" w:cs="黑体"/>
          <w:b w:val="0"/>
          <w:bCs w:val="0"/>
          <w:color w:val="auto"/>
          <w:sz w:val="28"/>
          <w:szCs w:val="28"/>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第五十条　国家监察委员会统筹协调与其他国家、地区、国际组织开展的反腐败国际交流、合作，组织反腐败国际条约实施工作。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第五十一条　国家监察委员会组织协调有关方面加强与有关国家、地区、国际组织在反腐败执法、引渡、司法协助、被判刑人的移管、资产追回和信息交流等领域的合作。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第五十二条　国家监察委员会加强对反腐败国际追逃追赃和防逃工作的组织协调，督促有关单位做好相关工作：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（一）对于重大贪污贿赂、失职渎职等职务犯罪案件，被调查人逃匿到国（境）外，掌握证据比较确凿的，通过开展境外追逃合作，追捕归案；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（二）向赃款赃物所在国请求查询、冻结、扣押、没收、追缴、返还涉案资产；</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（三）查询、监控涉嫌职务犯罪的公职人员及其相关人员进出国（境）和跨境资金流动情况，在调查案件过程中设置防逃程序。</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_GB2312" w:hAnsi="仿宋_GB2312" w:eastAsia="仿宋_GB2312" w:cs="仿宋_GB2312"/>
          <w:color w:val="auto"/>
          <w:sz w:val="24"/>
          <w:szCs w:val="24"/>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黑体" w:hAnsi="黑体" w:eastAsia="黑体" w:cs="黑体"/>
          <w:b w:val="0"/>
          <w:bCs w:val="0"/>
          <w:color w:val="auto"/>
          <w:sz w:val="28"/>
          <w:szCs w:val="28"/>
        </w:rPr>
      </w:pPr>
      <w:r>
        <w:rPr>
          <w:rStyle w:val="8"/>
          <w:rFonts w:hint="eastAsia" w:ascii="黑体" w:hAnsi="黑体" w:eastAsia="黑体" w:cs="黑体"/>
          <w:b w:val="0"/>
          <w:bCs w:val="0"/>
          <w:color w:val="auto"/>
          <w:sz w:val="28"/>
          <w:szCs w:val="28"/>
        </w:rPr>
        <w:t>第七章</w:t>
      </w:r>
      <w:r>
        <w:rPr>
          <w:rStyle w:val="8"/>
          <w:rFonts w:hint="eastAsia" w:ascii="黑体" w:hAnsi="黑体" w:eastAsia="黑体" w:cs="黑体"/>
          <w:b w:val="0"/>
          <w:bCs w:val="0"/>
          <w:color w:val="auto"/>
          <w:sz w:val="28"/>
          <w:szCs w:val="28"/>
          <w:lang w:val="en-US"/>
        </w:rPr>
        <w:t xml:space="preserve">  </w:t>
      </w:r>
      <w:r>
        <w:rPr>
          <w:rStyle w:val="8"/>
          <w:rFonts w:hint="eastAsia" w:ascii="黑体" w:hAnsi="黑体" w:eastAsia="黑体" w:cs="黑体"/>
          <w:b w:val="0"/>
          <w:bCs w:val="0"/>
          <w:color w:val="auto"/>
          <w:sz w:val="28"/>
          <w:szCs w:val="28"/>
        </w:rPr>
        <w:t>对监察机关和监察人员的监督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黑体" w:hAnsi="黑体" w:eastAsia="黑体" w:cs="黑体"/>
          <w:b w:val="0"/>
          <w:bCs w:val="0"/>
          <w:color w:val="auto"/>
          <w:sz w:val="28"/>
          <w:szCs w:val="28"/>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第五十三条　各级监察委员会应当接受本级人民代表大会及其常务委员会的监督。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各级人民代表大会常务委员会听取和审议本级监察委员会的专项工作报告，组织执法检查。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县级以上各级人民代表大会及其常务委员会举行会议时，人民代表大会代表或者常务委员会组成人员可以依照法律规定的程序，就监察工作中的有关问题提出询问或者质询。</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第五十四条　监察机关应当依法公开监察工作信息，接受民主监督、社会监督、舆论监督。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第五十五条　监察机关通过设立内部专门的监督机构等方式，加强对监察人员执行职务和遵守法律情况的监督，建设忠诚、干净、担当的监察队伍。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第五十六条　监察人员必须模范遵守宪法和法律，忠于职守、秉公执法，清正廉洁、保守秘密；必须具有良好的政治素质，熟悉监察业务，具备运用法律、法规、政策和调查取证等能力，自觉接受监督。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第五十七条　对于监察人员打听案情、过问案件、说情干预的，办理监察事项的监察人员应当及时报告。有关情况应当登记备案。</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发现办理监察事项的监察人员未经批准接触被调查人、涉案人员及其特定关系人，或者存在交往情形的，知情人应当及时报告。有关情况应当登记备案。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第五十八条　办理监察事项的监察人员有下列情形之一的，应当自行回避，监察对象、检举人及其他有关人员也有权要求其回避：</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（一）是监察对象或者检举人的近亲属的；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（二）担任过本案的证人的；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（三）本人或者其近亲属与办理的监察事项有利害关系的；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（四）有可能影响监察事项公正处理的其他情形的。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第五十九条　监察机关涉密人员离岗离职后，应当遵守脱密期管理规定，严格履行保密义务，不得泄露相关秘密。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监察人员辞职、退休三年内，不得从事与监察和司法工作相关联且可能发生利益冲突的职业。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第六十条　监察机关及其工作人员有下列行为之一的，被调查人及其近亲属有权向该机关申诉：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（一）留置法定期限届满，不予以解除的；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（二）查封、扣押、冻结与案件无关的财物的；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（三）应当解除查封、扣押、冻结措施而不解除的；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（四）贪污、挪用、私分、调换以及违反规定使用查封、扣押、冻结的财物的；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（五）其他违反法律法规、侵害被调查人合法权益的行为。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第六十一条　对调查工作结束后发现立案依据不充分或者失实，案件处置出现重大失误，监察人员严重违法的，应当追究负有责任的领导人员和直接责任人员的责任。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_GB2312" w:hAnsi="仿宋_GB2312" w:eastAsia="仿宋_GB2312" w:cs="仿宋_GB2312"/>
          <w:color w:val="auto"/>
          <w:sz w:val="24"/>
          <w:szCs w:val="24"/>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黑体" w:hAnsi="黑体" w:eastAsia="黑体" w:cs="黑体"/>
          <w:b w:val="0"/>
          <w:bCs w:val="0"/>
          <w:color w:val="auto"/>
          <w:sz w:val="28"/>
          <w:szCs w:val="28"/>
        </w:rPr>
      </w:pPr>
      <w:r>
        <w:rPr>
          <w:rStyle w:val="8"/>
          <w:rFonts w:hint="eastAsia" w:ascii="黑体" w:hAnsi="黑体" w:eastAsia="黑体" w:cs="黑体"/>
          <w:b w:val="0"/>
          <w:bCs w:val="0"/>
          <w:color w:val="auto"/>
          <w:sz w:val="28"/>
          <w:szCs w:val="28"/>
        </w:rPr>
        <w:t>第八章</w:t>
      </w:r>
      <w:r>
        <w:rPr>
          <w:rStyle w:val="8"/>
          <w:rFonts w:hint="eastAsia" w:ascii="黑体" w:hAnsi="黑体" w:eastAsia="黑体" w:cs="黑体"/>
          <w:b w:val="0"/>
          <w:bCs w:val="0"/>
          <w:color w:val="auto"/>
          <w:sz w:val="28"/>
          <w:szCs w:val="28"/>
          <w:lang w:val="en-US"/>
        </w:rPr>
        <w:t xml:space="preserve">  </w:t>
      </w:r>
      <w:r>
        <w:rPr>
          <w:rStyle w:val="8"/>
          <w:rFonts w:hint="eastAsia" w:ascii="黑体" w:hAnsi="黑体" w:eastAsia="黑体" w:cs="黑体"/>
          <w:b w:val="0"/>
          <w:bCs w:val="0"/>
          <w:color w:val="auto"/>
          <w:sz w:val="28"/>
          <w:szCs w:val="28"/>
        </w:rPr>
        <w:t>法律责任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黑体" w:hAnsi="黑体" w:eastAsia="黑体" w:cs="黑体"/>
          <w:b w:val="0"/>
          <w:bCs w:val="0"/>
          <w:color w:val="auto"/>
          <w:sz w:val="28"/>
          <w:szCs w:val="28"/>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第六十二条　有关单位拒不执行监察机关作出的处理决定，或者无正当理由拒不采纳监察建议的，由其主管部门、上级机关责令改正，对单位给予通报批评；对负有责任的领导人员和直接责任人员依法给予处理。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第六十三条　有关人员违反本法规定，有下列行为之一的，由其所在单位、主管部门、上级机关或者监察机关责令改正，依法给予处理：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（一）不按要求提供有关材料，拒绝、阻碍调查措施实施等拒不配合监察机关调查的；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（二）提供虚假情况，掩盖事实真相的；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（三）串供或者伪造、隐匿、毁灭证据的；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（四）阻止他人揭发检举、提供证据的；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（五）其他违反本法规定的行为，情节严重的。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第六十四条　监察对象对控告人、检举人、证人或者监察人员进行报复陷害的；控告人、检举人、证人捏造事实诬告陷害监察对象的，依法给予处理。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第六十五条　监察机关及其工作人员有下列行为之一的，对负有责任的领导人员和直接责任人员依法给予处理：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（一）未经批准、授权处置问题线索，发现重大案情隐瞒不报，或者私自留存、处理涉案材料的；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（二）利用职权或者职务上的影响干预调查工作、以案谋私的；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（三）违法窃取、泄露调查工作信息，或者泄露举报事项、举报受理情况以及举报人信息的；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（四）对被调查人或者涉案人员逼供、诱供，或者侮辱、打骂、虐待、体罚或者变相体罚的；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（五）违反规定处置查封、扣押、冻结的财物的；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（六）违反规定发生办案安全事故，或者发生安全事故后隐瞒不报、报告失实、处置不当的；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（七）违反规定采取留置措施的；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（八）违反规定限制他人出境，或者不按规定解除出境限制的；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（九）其他滥用职权、玩忽职守、徇私舞弊的行为。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第六十六条　违反本法规定，构成犯罪的，依法追究刑事责任。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第六十七条　监察机关及其工作人员行使职权，侵犯公民、法人和其他组织的合法权益造成损害的，依法给予国家赔偿。</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仿宋_GB2312" w:hAnsi="仿宋_GB2312" w:eastAsia="仿宋_GB2312" w:cs="仿宋_GB2312"/>
          <w:color w:val="auto"/>
          <w:sz w:val="24"/>
          <w:szCs w:val="24"/>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黑体" w:hAnsi="黑体" w:eastAsia="黑体" w:cs="黑体"/>
          <w:b w:val="0"/>
          <w:bCs w:val="0"/>
          <w:color w:val="auto"/>
          <w:sz w:val="28"/>
          <w:szCs w:val="28"/>
        </w:rPr>
      </w:pPr>
      <w:r>
        <w:rPr>
          <w:rStyle w:val="8"/>
          <w:rFonts w:hint="eastAsia" w:ascii="黑体" w:hAnsi="黑体" w:eastAsia="黑体" w:cs="黑体"/>
          <w:b w:val="0"/>
          <w:bCs w:val="0"/>
          <w:color w:val="auto"/>
          <w:sz w:val="28"/>
          <w:szCs w:val="28"/>
        </w:rPr>
        <w:t>第九章</w:t>
      </w:r>
      <w:r>
        <w:rPr>
          <w:rStyle w:val="8"/>
          <w:rFonts w:hint="eastAsia" w:ascii="黑体" w:hAnsi="黑体" w:eastAsia="黑体" w:cs="黑体"/>
          <w:b w:val="0"/>
          <w:bCs w:val="0"/>
          <w:color w:val="auto"/>
          <w:sz w:val="28"/>
          <w:szCs w:val="28"/>
          <w:lang w:val="en-US"/>
        </w:rPr>
        <w:t xml:space="preserve">  </w:t>
      </w:r>
      <w:r>
        <w:rPr>
          <w:rStyle w:val="8"/>
          <w:rFonts w:hint="eastAsia" w:ascii="黑体" w:hAnsi="黑体" w:eastAsia="黑体" w:cs="黑体"/>
          <w:b w:val="0"/>
          <w:bCs w:val="0"/>
          <w:color w:val="auto"/>
          <w:sz w:val="28"/>
          <w:szCs w:val="28"/>
        </w:rPr>
        <w:t>附</w:t>
      </w:r>
      <w:r>
        <w:rPr>
          <w:rStyle w:val="8"/>
          <w:rFonts w:hint="eastAsia" w:ascii="黑体" w:hAnsi="黑体" w:eastAsia="黑体" w:cs="黑体"/>
          <w:b w:val="0"/>
          <w:bCs w:val="0"/>
          <w:color w:val="auto"/>
          <w:sz w:val="28"/>
          <w:szCs w:val="28"/>
          <w:lang w:val="en-US"/>
        </w:rPr>
        <w:t xml:space="preserve">  </w:t>
      </w:r>
      <w:r>
        <w:rPr>
          <w:rStyle w:val="8"/>
          <w:rFonts w:hint="eastAsia" w:ascii="黑体" w:hAnsi="黑体" w:eastAsia="黑体" w:cs="黑体"/>
          <w:b w:val="0"/>
          <w:bCs w:val="0"/>
          <w:color w:val="auto"/>
          <w:sz w:val="28"/>
          <w:szCs w:val="28"/>
        </w:rPr>
        <w:t>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center"/>
        <w:textAlignment w:val="auto"/>
        <w:rPr>
          <w:rStyle w:val="8"/>
          <w:rFonts w:hint="eastAsia" w:ascii="黑体" w:hAnsi="黑体" w:eastAsia="黑体" w:cs="黑体"/>
          <w:b w:val="0"/>
          <w:bCs w:val="0"/>
          <w:color w:val="auto"/>
          <w:sz w:val="28"/>
          <w:szCs w:val="28"/>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第六十八条　中国人民解放军和中国人民武装警察部队开展监察工作，由中央军事委员会根据本法制定具体规定。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第六十九条　本法自公布之日起施行。《中华人民共和国行政监察法》同时废止。</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br w:type="page"/>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小标宋简体" w:hAnsi="方正小标宋简体" w:eastAsia="方正小标宋简体" w:cs="方正小标宋简体"/>
          <w:color w:val="auto"/>
          <w:sz w:val="32"/>
          <w:szCs w:val="32"/>
        </w:rPr>
      </w:pPr>
      <w:bookmarkStart w:id="5" w:name="_Toc24867"/>
      <w:r>
        <w:rPr>
          <w:rFonts w:hint="eastAsia" w:ascii="方正小标宋简体" w:hAnsi="方正小标宋简体" w:eastAsia="方正小标宋简体" w:cs="方正小标宋简体"/>
          <w:bCs/>
          <w:color w:val="auto"/>
          <w:sz w:val="32"/>
          <w:szCs w:val="32"/>
        </w:rPr>
        <w:t>中华人民共和国个人所得税法</w:t>
      </w:r>
      <w:bookmarkEnd w:id="5"/>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根据2018年8月31日第十三届全国人民代表大会常务委员会第五次会议《关于修改〈中华人民共和国个人所得税法〉的决定》第七次修正）</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第一条　在中国境内有住所，或者无住所而一个纳税年度内在中国境内居住累计满一百八十三天的个人，为居民个人。居民个人从中国境内和境外取得的所得，依照本法规定缴纳个人所得税。</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在中国境内无住所又不居住，或者无住所而一个纳税年度内在中国境内居住累计不满一百八十三天的个人，为非居民个人。非居民个人从中国境内取得的所得，依照本法规定缴纳个人所得税。</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纳税年度，自公历一月一日起至十二月三十一日止。</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第二条　下列各项个人所得，应当缴纳个人所得税：</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（一）工资、薪金所得；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（二）劳务报酬所得；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（三）稿酬所得；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（四）特许权使用费所得；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（五）经营所得；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（六）利息、股息、红利所得；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（七）财产租赁所得；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（八）财产转让所得；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（九）偶然所得。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居民个人取得前款第一项至第四项所得（以下称综合所得），按纳税年度合并计算个人所得税；非居民个人取得前款第一项至第四项所得，按月或者按次分项计算个人所得税。纳税人取得前款第五项至第九项所得，依照本法规定分别计算个人所得税。</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第三条　个人所得税的税率：</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（一）综合所得，适用百分之三至百分之四十五的超额累进税率（税率表附后）；</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（二）经营所得，适用百分之五至百分之三十五的超额累进税率（税率表附后）；</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（三）利息、股息、红利所得，财产租赁所得，财产转让所得和偶然所得，适用比例税率，税率为百分之二十。</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第四条　下列各项个人所得，免征个人所得税：</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（一）省级人民政府、国务院部委和中国人民解放军军以上单位，以及外国组织、国际组织颁发的科学、教育、技术、文化、卫生、体育、环境保护等方面的奖金；</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（二）国债和国家发行的金融债券利息；</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（三）按照国家统一规定发给的补贴、津贴；</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（四）福利费、抚恤金、救济金；</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（五）保险赔款；</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（六）军人的转业费、复员费、退役金；</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（七）按照国家统一规定发给干部、职工的安家费、退职费、基本养老金或者退休费、离休费、离休生活补助费；</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（八）依照有关法律规定应予免税的各国驻华使馆、领事馆的外交代表、领事官员和其他人员的所得；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（九）中国政府参加的国际公约、签订的协议中规定免税的所得；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（十）国务院规定的其他免税所得。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前款第十项免税规定，由国务院报全国人民代表大会常务委员会备案。</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第五条　有下列情形之一的，可以减征个人所得税，具体幅度和期限，由省、自治区、直辖市人民政府规定，并报同级人民代表大会常务委员会备案：</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（一）残疾、孤老人员和烈属的所得；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（二）因自然灾害遭受重大损失的。</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国务院可以规定其他减税情形，报全国人民代表大会常务委员会备案。</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第六条　应纳税所得额的计算：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（一）居民个人的综合所得，以每一纳税年度的收入额减除费用六万元以及专项扣除、专项附加扣除和依法确定的其他扣除后的余额，为应纳税所得额。</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（二）非居民个人的工资、薪金所得，以每月收入额减除费用五千元后的余额为应纳税所得额；劳务报酬所得、稿酬所得、特许权使用费所得，以每次收入额为应纳税所得额。</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（三）经营所得，以每一纳税年度的收入总额减除成本、费用以及损失后的余额，为应纳税所得额。</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（四）财产租赁所得，每次收入不超过四千元的，减除费用八百元；四千元以上的，减除百分之二十的费用，其余额为应纳税所得额。</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（五）财产转让所得，以转让财产的收入额减除财产原值和合理费用后的余额，为应纳税所得额。</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（六）利息、股息、红利所得和偶然所得，以每次收入额为应纳税所得额。</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劳务报酬所得、稿酬所得、特许权使用费所得以收入减除百分之二十的费用后的余额为收入额。稿酬所得的收入额减按百分之七十计算。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个人将其所得对教育、扶贫、济困等公益慈善事业进行捐赠，捐赠额未超过纳税人申报的应纳税所得额百分之三十的部分，可以从其应纳税所得额中扣除；国务院规定对公益慈善事业捐赠实行全额税前扣除的，从其规定。</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本条第一款第一项规定的专项扣除，包括居民个人按照国家规定的范围和标准缴纳的基本养老保险、基本医疗保险、失业保险等社会保险费和住房公积金等；专项附加扣除，包括子女教育、继续教育、大病医疗、住房贷款利息或者住房租金、赡养老人等支出，具体范围、标准和实施步骤由国务院确定，并报全国人民代表大会常务委员会备案。</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第七条　居民个人从中国境外取得的所得，可以从其应纳税额中抵免已在境外缴纳的个人所得税税额，但抵免额不得超过该纳税人境外所得依照本法规定计算的应纳税额。</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第八条　有下列情形之一的，税务机关有权按照合理方法进行纳税调整：</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（一）个人与其关联方之间的业务往来不符合独立交易原则而减少本人或者其关联方应纳税额，且无正当理由；</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（二）居民个人控制的，或者居民个人和居民企业共同控制的设立在实际税负明显偏低的国家（地区）的企业，无合理经营需要，对应当归属于居民个人的利润不作分配或者减少分配；</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（三）个人实施其他不具有合理商业目的的安排而获取不当税收利益。</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税务机关依照前款规定作出纳税调整，需要补征税款的，应当补征税款，并依法加收利息。</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第九条　个人所得税以所得人为纳税人，以支付所得的单位或者个人为扣缴义务人。</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纳税人有中国公民身份号码的，以中国公民身份号码为纳税人识别号；纳税人没有中国公民身份号码的，由税务机关赋予其纳税人识别号。扣缴义务人扣缴税款时，纳税人应当向扣缴义务人提供纳税人识别号。</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第十条　有下列情形之一的，纳税人应当依法办理纳税申报：</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（一）取得综合所得需要办理汇算清缴；</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（二）取得应税所得没有扣缴义务人；</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（三）取得应税所得，扣缴义务人未扣缴税款；</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（四）取得境外所得；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（五）因移居境外注销中国户籍；</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（六）非居民个人在中国境内从两处以上取得工资、薪金所得；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（七）国务院规定的其他情形。</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扣缴义务人应当按照国家规定办理全员全额扣缴申报，并向纳税人提供其个人所得和已扣缴税款等信息。</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第十一条　居民个人取得综合所得，按年计算个人所得税；有扣缴义务人的，由扣缴义务人按月或者按次预扣预缴税款；需要办理汇算清缴的，应当在取得所得的次年三月一日至六月三十日内办理汇算清缴。预扣预缴办法由国务院税务主管部门制定。</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居民个人向扣缴义务人提供专项附加扣除信息的，扣缴义务人按月预扣预缴税款时应当按照规定予以扣除，不得拒绝。</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非居民个人取得工资、薪金所得，劳务报酬所得，稿酬所得和特许权使用费所得，有扣缴义务人的，由扣缴义务人按月或者按次代扣代缴税款，不办理汇算清缴。</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第十二条　纳税人取得经营所得，按年计算个人所得税，由纳税人在月度或者季度终了后十五日内向税务机关报送纳税申报表，并预缴税款；在取得所得的次年三月三十一日前办理汇算清缴。</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纳税人取得利息、股息、红利所得，财产租赁所得，财产转让所得和偶然所得，按月或者按次计算个人所得税，有扣缴义务人的，由扣缴义务人按月或者按次代扣代缴税款。</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第十三条　纳税人取得应税所得没有扣缴义务人的，应当在取得所得的次月十五日内向税务机关报送纳税申报表，并缴纳税款。</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纳税人取得应税所得，扣缴义务人未扣缴税款的，纳税人应当在取得所得的次年六月三十日前，缴纳税款；税务机关通知限期缴纳的，纳税人应当按照期限缴纳税款。</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居民个人从中国境外取得所得的，应当在取得所得的次年三月一日至六月三十日内申报纳税。</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非居民个人在中国境内从两处以上取得工资、薪金所得的，应当在取得所得的次月十五日内申报纳税。</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纳税人因移居境外注销中国户籍的，应当在注销中国户籍前办理税款清算。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第十四条　扣缴义务人每月或者每次预扣、代扣的税款，应当在次月十五日内缴入国库，并向税务机关报送扣缴个人所得税申报表。</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纳税人办理汇算清缴退税或者扣缴义务人为纳税人办理汇算清缴退税的，税务机关审核后，按照国库管理的有关规定办理退税。</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第十五条　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等专项附加扣除信息。</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有关部门依法将纳税人、扣缴义务人遵守本法的情况纳入信用信息系统，并实施联合激励或者惩戒。</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第十六条　各项所得的计算，以人民币为单位。所得为人民币以外的货币的，按照人民币汇率中间价折合成人民币缴纳税款。</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第十七条　对扣缴义务人按照所扣缴的税款，付给百分之二的手续费。</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第十八条　对储蓄存款利息所得开征、减征、停征个人所得税及其具体办法，由国务院规定，并报全国人民代表大会常务委员会备案。</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第十九条　纳税人、扣缴义务人和税务机关及其工作人员违反本法规定的，依照《中华人民共和国税收征收管理法》和有关法律法规的规定追究法律责任。</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第二十条　个人所得税的征收管理，依照本法和《中华人民共和国税收征收管理法》的规定执行。</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第二十一条　国务院根据本法制定实施条例。</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第二十二条　本法自公布之日起施行。</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br w:type="page"/>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小标宋简体" w:hAnsi="方正小标宋简体" w:eastAsia="方正小标宋简体" w:cs="方正小标宋简体"/>
          <w:color w:val="auto"/>
          <w:sz w:val="32"/>
          <w:szCs w:val="32"/>
          <w:shd w:val="clear" w:color="auto" w:fill="FFFFFF"/>
        </w:rPr>
      </w:pPr>
      <w:r>
        <w:rPr>
          <w:rFonts w:hint="eastAsia" w:ascii="方正小标宋简体" w:hAnsi="方正小标宋简体" w:eastAsia="方正小标宋简体" w:cs="方正小标宋简体"/>
          <w:color w:val="auto"/>
          <w:sz w:val="32"/>
          <w:szCs w:val="32"/>
          <w:shd w:val="clear" w:color="auto" w:fill="FFFFFF"/>
        </w:rPr>
        <w:t>中华人民共和国主席令</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Style w:val="11"/>
          <w:rFonts w:hint="eastAsia" w:ascii="方正小标宋简体" w:hAnsi="方正小标宋简体" w:eastAsia="方正小标宋简体" w:cs="方正小标宋简体"/>
          <w:color w:val="auto"/>
          <w:sz w:val="32"/>
          <w:szCs w:val="32"/>
          <w:shd w:val="clear" w:color="auto" w:fill="FFFFFF"/>
        </w:rPr>
      </w:pPr>
      <w:r>
        <w:rPr>
          <w:rFonts w:hint="eastAsia" w:ascii="方正小标宋简体" w:hAnsi="方正小标宋简体" w:eastAsia="方正小标宋简体" w:cs="方正小标宋简体"/>
          <w:color w:val="auto"/>
          <w:sz w:val="32"/>
          <w:szCs w:val="32"/>
          <w:shd w:val="clear" w:color="auto" w:fill="FFFFFF"/>
        </w:rPr>
        <w:t>第七号</w:t>
      </w:r>
    </w:p>
    <w:p>
      <w:pPr>
        <w:keepNext w:val="0"/>
        <w:keepLines w:val="0"/>
        <w:pageBreakBefore w:val="0"/>
        <w:kinsoku/>
        <w:wordWrap/>
        <w:overflowPunct/>
        <w:topLinePunct w:val="0"/>
        <w:autoSpaceDE/>
        <w:autoSpaceDN/>
        <w:bidi w:val="0"/>
        <w:adjustRightInd/>
        <w:snapToGrid/>
        <w:spacing w:line="440" w:lineRule="exact"/>
        <w:textAlignment w:val="auto"/>
        <w:rPr>
          <w:rStyle w:val="11"/>
          <w:rFonts w:hint="eastAsia" w:ascii="仿宋_GB2312" w:hAnsi="仿宋_GB2312" w:eastAsia="仿宋_GB2312" w:cs="仿宋_GB2312"/>
          <w:color w:val="auto"/>
          <w:sz w:val="24"/>
          <w:szCs w:val="24"/>
          <w:shd w:val="clear" w:color="auto" w:fill="FFFFFF"/>
          <w:lang w:eastAsia="zh-CN"/>
        </w:rPr>
      </w:pPr>
    </w:p>
    <w:p>
      <w:pPr>
        <w:keepNext w:val="0"/>
        <w:keepLines w:val="0"/>
        <w:pageBreakBefore w:val="0"/>
        <w:kinsoku/>
        <w:wordWrap/>
        <w:overflowPunct/>
        <w:topLinePunct w:val="0"/>
        <w:autoSpaceDE/>
        <w:autoSpaceDN/>
        <w:bidi w:val="0"/>
        <w:adjustRightInd/>
        <w:snapToGrid/>
        <w:spacing w:line="440" w:lineRule="exact"/>
        <w:ind w:firstLine="320"/>
        <w:textAlignment w:val="auto"/>
        <w:rPr>
          <w:rStyle w:val="11"/>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全国人民代表大会常务委员会关于修改＜中华人民共和国消费者权益保护法＞的决定》已由中华人民共和国第十二届全国人民代表大会常务委员会第五次会议于2013年10月25日通过，现予公布，自2014年3月15日起施行。</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320"/>
        <w:textAlignment w:val="auto"/>
        <w:rPr>
          <w:rStyle w:val="11"/>
          <w:rFonts w:hint="eastAsia" w:ascii="仿宋_GB2312" w:hAnsi="仿宋_GB2312" w:eastAsia="仿宋_GB2312" w:cs="仿宋_GB2312"/>
          <w:color w:val="auto"/>
          <w:sz w:val="24"/>
          <w:szCs w:val="24"/>
          <w:shd w:val="clear" w:color="auto" w:fill="FFFFFF"/>
          <w:lang w:eastAsia="zh-CN"/>
        </w:rPr>
      </w:pPr>
    </w:p>
    <w:p>
      <w:pPr>
        <w:keepNext w:val="0"/>
        <w:keepLines w:val="0"/>
        <w:pageBreakBefore w:val="0"/>
        <w:kinsoku/>
        <w:wordWrap/>
        <w:overflowPunct/>
        <w:topLinePunct w:val="0"/>
        <w:autoSpaceDE/>
        <w:autoSpaceDN/>
        <w:bidi w:val="0"/>
        <w:adjustRightInd/>
        <w:snapToGrid/>
        <w:spacing w:line="440" w:lineRule="exact"/>
        <w:jc w:val="right"/>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                                   中华人民共和国主席</w:t>
      </w:r>
      <w:r>
        <w:rPr>
          <w:rFonts w:hint="eastAsia" w:ascii="仿宋_GB2312" w:hAnsi="仿宋_GB2312" w:eastAsia="仿宋_GB2312" w:cs="仿宋_GB2312"/>
          <w:color w:val="auto"/>
          <w:sz w:val="24"/>
          <w:szCs w:val="24"/>
          <w:shd w:val="clear" w:color="auto" w:fill="FFFFFF"/>
          <w:lang w:val="en-US" w:eastAsia="zh-CN"/>
        </w:rPr>
        <w:t xml:space="preserve">  </w:t>
      </w:r>
      <w:r>
        <w:rPr>
          <w:rFonts w:hint="eastAsia" w:ascii="仿宋_GB2312" w:hAnsi="仿宋_GB2312" w:eastAsia="仿宋_GB2312" w:cs="仿宋_GB2312"/>
          <w:color w:val="auto"/>
          <w:sz w:val="24"/>
          <w:szCs w:val="24"/>
          <w:shd w:val="clear" w:color="auto" w:fill="FFFFFF"/>
        </w:rPr>
        <w:t>习近平</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                                               2013年10月25日</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shd w:val="clear" w:color="auto" w:fill="FFFFFF"/>
        </w:rPr>
      </w:pPr>
    </w:p>
    <w:p>
      <w:pPr>
        <w:keepNext w:val="0"/>
        <w:keepLines w:val="0"/>
        <w:pageBreakBefore w:val="0"/>
        <w:kinsoku/>
        <w:wordWrap/>
        <w:overflowPunct/>
        <w:topLinePunct w:val="0"/>
        <w:autoSpaceDE/>
        <w:autoSpaceDN/>
        <w:bidi w:val="0"/>
        <w:adjustRightInd/>
        <w:snapToGrid/>
        <w:spacing w:line="440" w:lineRule="exact"/>
        <w:textAlignment w:val="auto"/>
        <w:rPr>
          <w:rStyle w:val="11"/>
          <w:rFonts w:hint="eastAsia" w:ascii="仿宋_GB2312" w:hAnsi="仿宋_GB2312" w:eastAsia="仿宋_GB2312" w:cs="仿宋_GB2312"/>
          <w:b/>
          <w:bCs/>
          <w:color w:val="auto"/>
          <w:sz w:val="24"/>
          <w:szCs w:val="24"/>
          <w:shd w:val="clear" w:color="auto" w:fill="FFFFFF"/>
        </w:rPr>
      </w:pPr>
      <w:r>
        <w:rPr>
          <w:rFonts w:hint="eastAsia" w:ascii="仿宋_GB2312" w:hAnsi="仿宋_GB2312" w:eastAsia="仿宋_GB2312" w:cs="仿宋_GB2312"/>
          <w:b/>
          <w:bCs/>
          <w:color w:val="auto"/>
          <w:sz w:val="24"/>
          <w:szCs w:val="24"/>
          <w:shd w:val="clear" w:color="auto" w:fill="FFFFFF"/>
        </w:rPr>
        <w:t>新华社北京10月25日电</w:t>
      </w:r>
      <w:r>
        <w:rPr>
          <w:rStyle w:val="11"/>
          <w:rFonts w:hint="eastAsia" w:ascii="仿宋_GB2312" w:hAnsi="仿宋_GB2312" w:eastAsia="仿宋_GB2312" w:cs="仿宋_GB2312"/>
          <w:b/>
          <w:bCs/>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textAlignment w:val="auto"/>
        <w:rPr>
          <w:rStyle w:val="11"/>
          <w:rFonts w:hint="eastAsia" w:ascii="仿宋_GB2312" w:hAnsi="仿宋_GB2312" w:eastAsia="仿宋_GB2312" w:cs="仿宋_GB2312"/>
          <w:color w:val="auto"/>
          <w:sz w:val="24"/>
          <w:szCs w:val="24"/>
          <w:shd w:val="clear" w:color="auto" w:fill="FFFFFF"/>
          <w:lang w:eastAsia="zh-CN"/>
        </w:rPr>
      </w:pPr>
    </w:p>
    <w:p>
      <w:pPr>
        <w:rPr>
          <w:rFonts w:hint="eastAsia" w:ascii="方正小标宋简体" w:hAnsi="方正小标宋简体" w:eastAsia="方正小标宋简体" w:cs="方正小标宋简体"/>
          <w:color w:val="auto"/>
          <w:sz w:val="36"/>
          <w:szCs w:val="36"/>
          <w:shd w:val="clear" w:color="auto" w:fill="FFFFFF"/>
        </w:rPr>
      </w:pPr>
      <w:bookmarkStart w:id="6" w:name="_Toc31998"/>
      <w:r>
        <w:rPr>
          <w:rFonts w:hint="eastAsia" w:ascii="方正小标宋简体" w:hAnsi="方正小标宋简体" w:eastAsia="方正小标宋简体" w:cs="方正小标宋简体"/>
          <w:color w:val="auto"/>
          <w:sz w:val="36"/>
          <w:szCs w:val="36"/>
          <w:shd w:val="clear" w:color="auto" w:fill="FFFFFF"/>
        </w:rPr>
        <w:br w:type="page"/>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color w:val="auto"/>
          <w:sz w:val="32"/>
          <w:szCs w:val="32"/>
          <w:shd w:val="clear" w:color="auto" w:fill="FFFFFF"/>
        </w:rPr>
      </w:pPr>
      <w:r>
        <w:rPr>
          <w:rFonts w:hint="eastAsia" w:ascii="方正小标宋简体" w:hAnsi="方正小标宋简体" w:eastAsia="方正小标宋简体" w:cs="方正小标宋简体"/>
          <w:color w:val="auto"/>
          <w:sz w:val="32"/>
          <w:szCs w:val="32"/>
          <w:shd w:val="clear" w:color="auto" w:fill="FFFFFF"/>
        </w:rPr>
        <w:t>中华人民共和国消费者权益保护法</w:t>
      </w:r>
      <w:bookmarkEnd w:id="6"/>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shd w:val="clear" w:color="auto" w:fill="FFFFFF"/>
          <w:lang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（1993年10月31日第八届全国人民代表大会常务委员会第四次会议通过 根据2009年8月27日第十一届全国人民代表大会常务委员会第十次会议《关于修改部分法律的决定》第一次修正 根据2013年10月25日第十二届全国人民代表大会常务委员会第五次会议《关于修改＜中华人民共和国消费者权益保护法＞的决定》第二次修正）</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shd w:val="clear" w:color="auto" w:fill="FFFFFF"/>
        </w:rPr>
      </w:pP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sz w:val="28"/>
          <w:szCs w:val="28"/>
          <w:shd w:val="clear" w:color="auto" w:fill="FFFFFF"/>
        </w:rPr>
      </w:pPr>
      <w:r>
        <w:rPr>
          <w:rFonts w:hint="eastAsia" w:ascii="黑体" w:hAnsi="黑体" w:eastAsia="黑体" w:cs="黑体"/>
          <w:b w:val="0"/>
          <w:bCs w:val="0"/>
          <w:color w:val="auto"/>
          <w:sz w:val="28"/>
          <w:szCs w:val="28"/>
          <w:shd w:val="clear" w:color="auto" w:fill="FFFFFF"/>
        </w:rPr>
        <w:br w:type="page"/>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sz w:val="28"/>
          <w:szCs w:val="28"/>
          <w:shd w:val="clear" w:color="auto" w:fill="FFFFFF"/>
        </w:rPr>
      </w:pP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32"/>
          <w:szCs w:val="32"/>
          <w:shd w:val="clear" w:color="auto" w:fill="FFFFFF"/>
        </w:rPr>
      </w:pPr>
      <w:r>
        <w:rPr>
          <w:rFonts w:hint="eastAsia" w:ascii="黑体" w:hAnsi="黑体" w:eastAsia="黑体" w:cs="黑体"/>
          <w:b/>
          <w:bCs/>
          <w:color w:val="auto"/>
          <w:sz w:val="32"/>
          <w:szCs w:val="32"/>
          <w:shd w:val="clear" w:color="auto" w:fill="FFFFFF"/>
        </w:rPr>
        <w:t>目</w:t>
      </w:r>
      <w:r>
        <w:rPr>
          <w:rFonts w:hint="eastAsia" w:ascii="黑体" w:hAnsi="黑体" w:eastAsia="黑体" w:cs="黑体"/>
          <w:b/>
          <w:bCs/>
          <w:color w:val="auto"/>
          <w:sz w:val="32"/>
          <w:szCs w:val="32"/>
          <w:shd w:val="clear" w:color="auto" w:fill="FFFFFF"/>
          <w:lang w:val="en-US" w:eastAsia="zh-CN"/>
        </w:rPr>
        <w:t xml:space="preserve">  </w:t>
      </w:r>
      <w:r>
        <w:rPr>
          <w:rFonts w:hint="eastAsia" w:ascii="黑体" w:hAnsi="黑体" w:eastAsia="黑体" w:cs="黑体"/>
          <w:b/>
          <w:bCs/>
          <w:color w:val="auto"/>
          <w:sz w:val="32"/>
          <w:szCs w:val="32"/>
          <w:shd w:val="clear" w:color="auto" w:fill="FFFFFF"/>
        </w:rPr>
        <w:t xml:space="preserve"> 录</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sz w:val="28"/>
          <w:szCs w:val="28"/>
          <w:shd w:val="clear" w:color="auto" w:fill="FFFFFF"/>
          <w:lang w:eastAsia="zh-CN"/>
        </w:rPr>
      </w:pPr>
    </w:p>
    <w:p>
      <w:pPr>
        <w:keepNext w:val="0"/>
        <w:keepLines w:val="0"/>
        <w:pageBreakBefore w:val="0"/>
        <w:kinsoku/>
        <w:wordWrap/>
        <w:overflowPunct/>
        <w:topLinePunct w:val="0"/>
        <w:autoSpaceDE/>
        <w:autoSpaceDN/>
        <w:bidi w:val="0"/>
        <w:adjustRightInd/>
        <w:snapToGrid/>
        <w:spacing w:line="360" w:lineRule="auto"/>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    第一章 总 则</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360" w:lineRule="auto"/>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    第二章 消费者的权利</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360" w:lineRule="auto"/>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    第三章 经营者的义务</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360" w:lineRule="auto"/>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    第四章 国家对消费者合法权益的保护</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360" w:lineRule="auto"/>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    第五章 消费者组织</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360" w:lineRule="auto"/>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    第六章 争议的解决</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360" w:lineRule="auto"/>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    第七章 法律责任</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360" w:lineRule="auto"/>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    第八章 附 则</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360" w:lineRule="auto"/>
        <w:textAlignment w:val="auto"/>
        <w:rPr>
          <w:rStyle w:val="11"/>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    第一章 总 则</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textAlignment w:val="auto"/>
        <w:rPr>
          <w:rStyle w:val="11"/>
          <w:rFonts w:hint="eastAsia" w:ascii="仿宋_GB2312" w:hAnsi="仿宋_GB2312" w:eastAsia="仿宋_GB2312" w:cs="仿宋_GB2312"/>
          <w:color w:val="auto"/>
          <w:sz w:val="24"/>
          <w:szCs w:val="24"/>
          <w:shd w:val="clear" w:color="auto" w:fill="FFFFFF"/>
        </w:rPr>
      </w:pPr>
      <w:r>
        <w:rPr>
          <w:rStyle w:val="11"/>
          <w:rFonts w:hint="eastAsia" w:ascii="仿宋_GB2312" w:hAnsi="仿宋_GB2312" w:eastAsia="仿宋_GB2312" w:cs="仿宋_GB2312"/>
          <w:color w:val="auto"/>
          <w:sz w:val="24"/>
          <w:szCs w:val="24"/>
          <w:shd w:val="clear" w:color="auto" w:fill="FFFFFF"/>
        </w:rPr>
        <w:br w:type="page"/>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第一条 为保护消费者的合法权益，维护社会经济秩序，促进社会主义市场经济健康发展，制定本法。</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第二条 消费者为生活消费需要购买、使用商品或者接受服务，其权益受本法保护；本法未作规定的，受其他有关法律、法规保护。</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第三条 经营者为消费者提供其生产、销售的商品或者提供服务，应当遵守本法；本法未作规定的，应当遵守其他有关法律、法规。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第四条 经营者与消费者进行交易，应当遵循自愿、平等、公平、诚实信用的原则。</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第五条 国家保护消费者的合法权益不受侵害。</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国家采取措施，保障消费者依法行使权利，维护消费者的合法权益。</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国家倡导文明、健康、节约资源和保护环境的消费方式，反对浪费。</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第六条 保护消费者的合法权益是全社会的共同责任。</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国家鼓励、支持一切组织和个人对损害消费者合法权益的行为进行社会监督。</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大众传播媒介应当做好维护消费者合法权益的宣传，对损害消费者合法权益的行为进行舆论监督。</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shd w:val="clear" w:color="auto" w:fill="FFFFFF"/>
        </w:rPr>
      </w:pPr>
    </w:p>
    <w:p>
      <w:pPr>
        <w:keepNext w:val="0"/>
        <w:keepLines w:val="0"/>
        <w:pageBreakBefore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color w:val="auto"/>
          <w:sz w:val="24"/>
          <w:szCs w:val="24"/>
          <w:shd w:val="clear" w:color="auto" w:fill="FFFFFF"/>
        </w:rPr>
      </w:pPr>
      <w:r>
        <w:rPr>
          <w:rFonts w:hint="eastAsia" w:ascii="黑体" w:hAnsi="黑体" w:eastAsia="黑体" w:cs="黑体"/>
          <w:b w:val="0"/>
          <w:bCs w:val="0"/>
          <w:color w:val="auto"/>
          <w:sz w:val="28"/>
          <w:szCs w:val="28"/>
          <w:shd w:val="clear" w:color="auto" w:fill="FFFFFF"/>
        </w:rPr>
        <w:t>第二章</w:t>
      </w:r>
      <w:r>
        <w:rPr>
          <w:rFonts w:hint="eastAsia" w:ascii="黑体" w:hAnsi="黑体" w:eastAsia="黑体" w:cs="黑体"/>
          <w:b w:val="0"/>
          <w:bCs w:val="0"/>
          <w:color w:val="auto"/>
          <w:sz w:val="28"/>
          <w:szCs w:val="28"/>
          <w:shd w:val="clear" w:color="auto" w:fill="FFFFFF"/>
          <w:lang w:val="en-US" w:eastAsia="zh-CN"/>
        </w:rPr>
        <w:t xml:space="preserve">  </w:t>
      </w:r>
      <w:r>
        <w:rPr>
          <w:rFonts w:hint="eastAsia" w:ascii="黑体" w:hAnsi="黑体" w:eastAsia="黑体" w:cs="黑体"/>
          <w:b w:val="0"/>
          <w:bCs w:val="0"/>
          <w:color w:val="auto"/>
          <w:sz w:val="28"/>
          <w:szCs w:val="28"/>
          <w:shd w:val="clear" w:color="auto" w:fill="FFFFFF"/>
        </w:rPr>
        <w:t>消费者的权利</w:t>
      </w:r>
    </w:p>
    <w:p>
      <w:pPr>
        <w:keepNext w:val="0"/>
        <w:keepLines w:val="0"/>
        <w:pageBreakBefore w:val="0"/>
        <w:kinsoku/>
        <w:wordWrap/>
        <w:overflowPunct/>
        <w:topLinePunct w:val="0"/>
        <w:autoSpaceDE/>
        <w:autoSpaceDN/>
        <w:bidi w:val="0"/>
        <w:adjustRightInd/>
        <w:snapToGrid/>
        <w:spacing w:line="440" w:lineRule="exact"/>
        <w:textAlignment w:val="auto"/>
        <w:rPr>
          <w:rStyle w:val="11"/>
          <w:rFonts w:hint="eastAsia" w:ascii="仿宋_GB2312" w:hAnsi="仿宋_GB2312" w:eastAsia="仿宋_GB2312" w:cs="仿宋_GB2312"/>
          <w:color w:val="auto"/>
          <w:sz w:val="24"/>
          <w:szCs w:val="24"/>
          <w:shd w:val="clear" w:color="auto" w:fill="FFFFFF"/>
          <w:lang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第七条 消费者在购买、使用商品和接受服务时享有人身、财产安全不受损害的权利。</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消费者有权要求经营者提供的商品和服务，符合保障人身、财产安全的要求。</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第八条 消费者享有知悉其购买、使用的商品或者接受的服务的真实情况的权利。</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消费者有权根据商品或者服务的不同情况，要求经营者提供商品的价格、产地、生产者、用途、性能、规格、等级、主要成份、生产日期、有效期限、检验合格证明、使用方法说明书、售后服务，或者服务的内容、规格、费用等有关情况。</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第九条 消费者享有自主选择商品或者服务的权利。</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消费者有权自主选择提供商品或者服务的经营者，自主选择商品品种或者服务方式，自主决定购买或者不购买任何一种商品、接受或者不接受任何一项服务。</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消费者在自主选择商品或者服务时，有权进行比较、鉴别和挑选。</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第十条 消费者享有公平交易的权利。</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消费者在购买商品或者接受服务时，有权获得质量保障、价格合理、计量正确等公平交易条件，有权拒绝经营者的强制交易行为。</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第十一条 消费者因购买、使用商品或者接受服务受到人身、财产损害的，享有依法获得赔偿的权利。</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第十二条 消费者享有依法成立维护自身合法权益的社会组织的权利。</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第十三条 消费者享有获得有关消费和消费者权益保护方面的知识的权利。</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消费者应当努力掌握所需商品或者服务的知识和使用技能，正确使用商品，提高自我保护意识。</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第十四条 消费者在购买、使用商品和接受服务时，享有人格尊严、民族风俗习惯得到尊重的权利，享有个人信息依法得到保护的权利。</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第十五条 消费者享有对商品和服务以及保护消费者权益工作进行监督的权利。</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消费者有权检举、控告侵害消费者权益的行为和国家机关及其工作人员在保护消费者权益工作中的违法失职行为，有权对保护消费者权益工作提出批评、建议。</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28"/>
          <w:szCs w:val="28"/>
          <w:shd w:val="clear" w:color="auto" w:fill="FFFFFF"/>
        </w:rPr>
      </w:pPr>
      <w:r>
        <w:rPr>
          <w:rFonts w:hint="eastAsia" w:ascii="黑体" w:hAnsi="黑体" w:eastAsia="黑体" w:cs="黑体"/>
          <w:color w:val="auto"/>
          <w:sz w:val="28"/>
          <w:szCs w:val="28"/>
          <w:shd w:val="clear" w:color="auto" w:fill="FFFFFF"/>
        </w:rPr>
        <w:t>第三章</w:t>
      </w:r>
      <w:r>
        <w:rPr>
          <w:rFonts w:hint="eastAsia" w:ascii="黑体" w:hAnsi="黑体" w:eastAsia="黑体" w:cs="黑体"/>
          <w:color w:val="auto"/>
          <w:sz w:val="28"/>
          <w:szCs w:val="28"/>
          <w:shd w:val="clear" w:color="auto" w:fill="FFFFFF"/>
          <w:lang w:val="en-US" w:eastAsia="zh-CN"/>
        </w:rPr>
        <w:t xml:space="preserve">  </w:t>
      </w:r>
      <w:r>
        <w:rPr>
          <w:rFonts w:hint="eastAsia" w:ascii="黑体" w:hAnsi="黑体" w:eastAsia="黑体" w:cs="黑体"/>
          <w:color w:val="auto"/>
          <w:sz w:val="28"/>
          <w:szCs w:val="28"/>
          <w:shd w:val="clear" w:color="auto" w:fill="FFFFFF"/>
        </w:rPr>
        <w:t>经营者的义务</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shd w:val="clear" w:color="auto" w:fill="FFFFFF"/>
          <w:lang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第十六条 经营者向消费者提供商品或者服务，应当依照本法和其他有关法律、法规的规定履行义务。</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经营者和消费者有约定的，应当按照约定履行义务，但双方的约定不得违背法律、法规的规定。</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经营者向消费者提供商品或者服务，应当恪守社会公德，诚信经营，保障消费者的合法权益；不得设定不公平、不合理的交易条件，不得强制交易。</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第十七条 经营者应当听取消费者对其提供的商品或者服务的意见，接受消费者的监督。</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第十八条 经营者应当保证其提供的商品或者服务符合保障人身、财产安全的要求。对可能危及人身、财产安全的商品和服务，应当向消费者作出真实的说明和明确的警示，并说明和标明正确使用商品或者接受服务的方法以及防止危害发生的方法。</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宾馆、商场、餐馆、银行、机场、车站、港口、影剧院等经营场所的经营者，应当对消费者尽到安全保障义务。</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第十九条 经营者发现其提供的商品或者服务存在缺陷，有危及人身、财产安全危险的，应当立即向有关行政部门报告和告知消费者，并采取停止销售、警示、召回、无害化处理、销毁、停止生产或者服务等措施。采取召回措施的，经营者应当承担消费者因商品被召回支出的必要费用。</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第二十条 经营者向消费者提供有关商品或者服务的质量、性能、用途、有效期限等信息，应当真实、全面，不得作虚假或者引人误解的宣传。</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经营者对消费者就其提供的商品或者服务的质量和使用方法等问题提出的询问，应当作出真实、明确的答复。</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经营者提供商品或者服务应当明码标价。</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第二十一条 经营者应当标明其真实名称和标记。</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租赁他人柜台或者场地的经营者，应当标明其真实名称和标记。</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第二十二条 经营者提供商品或者服务，应当按照国家有关规定或者商业惯例向消费者出具发票等购货凭证或者服务单据；消费者索要发票等购货凭证或者服务单据的，经营者必须出具。</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第二十三条 经营者应当保证在正常使用商品或者接受服务的情况下其提供的商品或者服务应当具有的质量、性能、用途和有效期限；但消费者在购买该商品或者接受该服务前已经知道其存在瑕疵，且存在该瑕疵不违反法律强制性规定的除外。</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经营者以广告、产品说明、实物样品或者其他方式表明商品或者服务的质量状况的，应当保证其提供的商品或者服务的实际质量与表明的质量状况相符。</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经营者提供的机动车、计算机、电视机、电冰箱、空调器、洗衣机等耐用商品或者装饰装修等服务，消费者自接受商品或者服务之日起六个月内发现瑕疵，发生争议的，由经营者承担有关瑕疵的举证责任。</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第二十四条 经营者提供的商品或者服务不符合质量要求的，消费者可以依照国家规定、当事人约定退货，或者要求经营者履行更换、修理等义务。没有国家规定和当事人约定的，消费者可以自收到商品之日起七日内退货；七日后符合法定解除合同条件的，消费者可以及时退货，不符合法定解除合同条件的，可以要求经营者履行更换、修理等义务。</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依照前款规定进行退货、更换、修理的，经营者应当承担运输等必要费用。</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第二十五条 经营者采用网络、电视、电话、邮购等方式销售商品，消费者有权自收到商品之日起七日内退货，且无需说明理由，但下列商品除外：</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（一）消费者定作的；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（二）鲜活易腐的；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（三）在线下载或者消费者拆封的音像制品、计算机软件等数字化商品；</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（四）交付的报纸、期刊。</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除前款所列商品外，其他根据商品性质并经消费者在购买时确认不宜退货的商品，不适用无理由退货。</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消费者退货的商品应当完好。经营者应当自收到退回商品之日起七日内返还消费者支付的商品价款。退回商品的运费由消费者承担；经营者和消费者另有约定的，按照约定。</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第二十六条 经营者在经营活动中使用格式条款的，应当以显著方式提请消费者注意商品或者服务的数量和质量、价款或者费用、履行期限和方式、安全注意事项和风险警示、售后服务、民事责任等与消费者有重大利害关系的内容，并按照消费者的要求予以说明。</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经营者不得以格式条款、通知、声明、店堂告示等方式，作出排除或者限制消费者权利、减轻或者免除经营者责任、加重消费者责任等对消费者不公平、不合理的规定，不得利用格式条款并借助技术手段强制交易。</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格式条款、通知、声明、店堂告示等含有前款所列内容的，其内容无效。</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第二十七条 经营者不得对消费者进行侮辱、诽谤，不得搜查消费者的身体及其携带的物品，不得侵犯消费者的人身自由。</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第二十八条 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第二十九条 经营者收集、使用消费者个人信息，应当遵循合法、正当、必要的原则，明示收集、使用信息的目的、方式和范围，并经消费者同意。经营者收集、使用消费者个人信息，应当公开其收集、使用规则，不得违反法律、法规的规定和双方的约定收集、使用信息。</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经营者及其工作人员对收集的消费者个人信息必须严格保密，不得泄露、出售或者非法向他人提供。经营者应当采取技术措施和其他必要措施，确保信息安全，防止消费者个人信息泄露、丢失。在发生或者可能发生信息泄露、丢失的情况时，应当立即采取补救措施。</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经营者未经消费者同意或者请求，或者消费者明确表示拒绝的，不得向其发送商业性信息。</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p>
    <w:p>
      <w:pPr>
        <w:keepNext w:val="0"/>
        <w:keepLines w:val="0"/>
        <w:pageBreakBefore w:val="0"/>
        <w:kinsoku/>
        <w:wordWrap/>
        <w:overflowPunct/>
        <w:topLinePunct w:val="0"/>
        <w:autoSpaceDE/>
        <w:autoSpaceDN/>
        <w:bidi w:val="0"/>
        <w:adjustRightInd/>
        <w:snapToGrid/>
        <w:spacing w:line="440" w:lineRule="exact"/>
        <w:jc w:val="center"/>
        <w:textAlignment w:val="auto"/>
        <w:rPr>
          <w:rStyle w:val="11"/>
          <w:rFonts w:hint="eastAsia" w:ascii="黑体" w:hAnsi="黑体" w:eastAsia="黑体" w:cs="黑体"/>
          <w:color w:val="auto"/>
          <w:sz w:val="28"/>
          <w:szCs w:val="28"/>
          <w:shd w:val="clear" w:color="auto" w:fill="FFFFFF"/>
        </w:rPr>
      </w:pPr>
      <w:r>
        <w:rPr>
          <w:rFonts w:hint="eastAsia" w:ascii="黑体" w:hAnsi="黑体" w:eastAsia="黑体" w:cs="黑体"/>
          <w:color w:val="auto"/>
          <w:sz w:val="28"/>
          <w:szCs w:val="28"/>
          <w:shd w:val="clear" w:color="auto" w:fill="FFFFFF"/>
        </w:rPr>
        <w:t>第四章</w:t>
      </w:r>
      <w:r>
        <w:rPr>
          <w:rFonts w:hint="eastAsia" w:ascii="黑体" w:hAnsi="黑体" w:eastAsia="黑体" w:cs="黑体"/>
          <w:color w:val="auto"/>
          <w:sz w:val="28"/>
          <w:szCs w:val="28"/>
          <w:shd w:val="clear" w:color="auto" w:fill="FFFFFF"/>
          <w:lang w:val="en-US" w:eastAsia="zh-CN"/>
        </w:rPr>
        <w:t xml:space="preserve">  </w:t>
      </w:r>
      <w:r>
        <w:rPr>
          <w:rFonts w:hint="eastAsia" w:ascii="黑体" w:hAnsi="黑体" w:eastAsia="黑体" w:cs="黑体"/>
          <w:color w:val="auto"/>
          <w:sz w:val="28"/>
          <w:szCs w:val="28"/>
          <w:shd w:val="clear" w:color="auto" w:fill="FFFFFF"/>
        </w:rPr>
        <w:t>国家对消费者合法权益的保护</w:t>
      </w:r>
    </w:p>
    <w:p>
      <w:pPr>
        <w:keepNext w:val="0"/>
        <w:keepLines w:val="0"/>
        <w:pageBreakBefore w:val="0"/>
        <w:kinsoku/>
        <w:wordWrap/>
        <w:overflowPunct/>
        <w:topLinePunct w:val="0"/>
        <w:autoSpaceDE/>
        <w:autoSpaceDN/>
        <w:bidi w:val="0"/>
        <w:adjustRightInd/>
        <w:snapToGrid/>
        <w:spacing w:line="440" w:lineRule="exact"/>
        <w:textAlignment w:val="auto"/>
        <w:rPr>
          <w:rStyle w:val="11"/>
          <w:rFonts w:hint="eastAsia" w:ascii="仿宋_GB2312" w:hAnsi="仿宋_GB2312" w:eastAsia="仿宋_GB2312" w:cs="仿宋_GB2312"/>
          <w:color w:val="auto"/>
          <w:sz w:val="24"/>
          <w:szCs w:val="24"/>
          <w:shd w:val="clear" w:color="auto" w:fill="FFFFFF"/>
          <w:lang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第三十条 国家制定有关消费者权益的法律、法规、规章和强制性标准，应当听取消费者和消费者协会等组织的意见。</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第三十一条 各级人民政府应当加强领导，组织、协调、督促有关行政部门做好保护消费者合法权益的工作，落实保护消费者合法权益的职责。</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各级人民政府应当加强监督，预防危害消费者人身、财产安全行为的发生，及时制止危害消费者人身、财产安全的行为。</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第三十二条 各级人民政府工商行政管理部门和其他有关行政部门应当依照法律、法规的规定，在各自的职责范围内，采取措施，保护消费者的合法权益。</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有关行政部门应当听取消费者和消费者协会等组织对经营者交易行为、商品和服务质量问题的意见，及时调查处理。</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第三十三条 有关行政部门在各自的职责范围内，应当定期或者不定期对经营者提供的商品和服务进行抽查检验，并及时向社会公布抽查检验结果。</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有关行政部门发现并认定经营者提供的商品或者服务存在缺陷，有危及人身、财产安全危险的，应当立即责令经营者采取停止销售、警示、召回、无害化处理、销毁、停止生产或者服务等措施。</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第三十四条 有关国家机关应当依照法律、法规的规定，惩处经营者在提供商品和服务中侵害消费者合法权益的违法犯罪行为。</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第三十五条 人民法院应当采取措施，方便消费者提起诉讼。对符合《中华人民共和国民事诉讼法》起诉条件的消费者权益争议，必须受理，及时审理。</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p>
    <w:p>
      <w:pPr>
        <w:keepNext w:val="0"/>
        <w:keepLines w:val="0"/>
        <w:pageBreakBefore w:val="0"/>
        <w:kinsoku/>
        <w:wordWrap/>
        <w:overflowPunct/>
        <w:topLinePunct w:val="0"/>
        <w:autoSpaceDE/>
        <w:autoSpaceDN/>
        <w:bidi w:val="0"/>
        <w:adjustRightInd/>
        <w:snapToGrid/>
        <w:spacing w:line="440" w:lineRule="exact"/>
        <w:jc w:val="center"/>
        <w:textAlignment w:val="auto"/>
        <w:rPr>
          <w:rStyle w:val="11"/>
          <w:rFonts w:hint="eastAsia" w:ascii="黑体" w:hAnsi="黑体" w:eastAsia="黑体" w:cs="黑体"/>
          <w:color w:val="auto"/>
          <w:sz w:val="28"/>
          <w:szCs w:val="28"/>
          <w:shd w:val="clear" w:color="auto" w:fill="FFFFFF"/>
        </w:rPr>
      </w:pPr>
      <w:r>
        <w:rPr>
          <w:rFonts w:hint="eastAsia" w:ascii="黑体" w:hAnsi="黑体" w:eastAsia="黑体" w:cs="黑体"/>
          <w:color w:val="auto"/>
          <w:sz w:val="28"/>
          <w:szCs w:val="28"/>
          <w:shd w:val="clear" w:color="auto" w:fill="FFFFFF"/>
        </w:rPr>
        <w:t>第五章</w:t>
      </w:r>
      <w:r>
        <w:rPr>
          <w:rFonts w:hint="eastAsia" w:ascii="黑体" w:hAnsi="黑体" w:eastAsia="黑体" w:cs="黑体"/>
          <w:color w:val="auto"/>
          <w:sz w:val="28"/>
          <w:szCs w:val="28"/>
          <w:shd w:val="clear" w:color="auto" w:fill="FFFFFF"/>
          <w:lang w:val="en-US" w:eastAsia="zh-CN"/>
        </w:rPr>
        <w:t xml:space="preserve">  </w:t>
      </w:r>
      <w:r>
        <w:rPr>
          <w:rFonts w:hint="eastAsia" w:ascii="黑体" w:hAnsi="黑体" w:eastAsia="黑体" w:cs="黑体"/>
          <w:color w:val="auto"/>
          <w:sz w:val="28"/>
          <w:szCs w:val="28"/>
          <w:shd w:val="clear" w:color="auto" w:fill="FFFFFF"/>
        </w:rPr>
        <w:t>消费者组织</w:t>
      </w:r>
    </w:p>
    <w:p>
      <w:pPr>
        <w:keepNext w:val="0"/>
        <w:keepLines w:val="0"/>
        <w:pageBreakBefore w:val="0"/>
        <w:kinsoku/>
        <w:wordWrap/>
        <w:overflowPunct/>
        <w:topLinePunct w:val="0"/>
        <w:autoSpaceDE/>
        <w:autoSpaceDN/>
        <w:bidi w:val="0"/>
        <w:adjustRightInd/>
        <w:snapToGrid/>
        <w:spacing w:line="440" w:lineRule="exact"/>
        <w:textAlignment w:val="auto"/>
        <w:rPr>
          <w:rStyle w:val="11"/>
          <w:rFonts w:hint="eastAsia" w:ascii="仿宋_GB2312" w:hAnsi="仿宋_GB2312" w:eastAsia="仿宋_GB2312" w:cs="仿宋_GB2312"/>
          <w:color w:val="auto"/>
          <w:sz w:val="24"/>
          <w:szCs w:val="24"/>
          <w:shd w:val="clear" w:color="auto" w:fill="FFFFFF"/>
          <w:lang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第三十六条 消费者协会和其他消费者组织是依法成立的对商品和服务进行社会监督的保护消费者合法权益的社会组织。</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第三十七条 消费者协会履行下列公益性职责：</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（一）向消费者提供消费信息和咨询服务，提高消费者维护自身合法权益的能力，引导文明、健康、节约资源和保护环境的消费方式；</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（二）参与制定有关消费者权益的法律、法规、规章和强制性标准；</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（三）参与有关行政部门对商品和服务的监督、检查；</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（四）就有关消费者合法权益的问题，向有关部门反映、查询，提出建议；</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（五）受理消费者的投诉，并对投诉事项进行调查、调解；</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（六）投诉事项涉及商品和服务质量问题的，可以委托具备资格的鉴定人鉴定，鉴定人应当告知鉴定意见；</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（七）就损害消费者合法权益的行为，支持受损害的消费者提起诉讼或者依照本法提起诉讼；</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（八）对损害消费者合法权益的行为，通过大众传播媒介予以揭露、批评。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各级人民政府对消费者协会履行职责应当予以必要的经费等支持。</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消费者协会应当认真履行保护消费者合法权益的职责，听取消费者的意见和建议，接受社会监督。</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依法成立的其他消费者组织依照法律、法规及其章程的规定，开展保护消费者合法权益的活动。</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第三十八条 消费者组织不得从事商品经营和营利性服务，不得以收取费用或者其他牟取利益的方式向消费者推荐商品和服务。</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p>
    <w:p>
      <w:pPr>
        <w:keepNext w:val="0"/>
        <w:keepLines w:val="0"/>
        <w:pageBreakBefore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color w:val="auto"/>
          <w:sz w:val="24"/>
          <w:szCs w:val="24"/>
          <w:shd w:val="clear" w:color="auto" w:fill="FFFFFF"/>
        </w:rPr>
      </w:pPr>
      <w:r>
        <w:rPr>
          <w:rFonts w:hint="eastAsia" w:ascii="黑体" w:hAnsi="黑体" w:eastAsia="黑体" w:cs="黑体"/>
          <w:color w:val="auto"/>
          <w:sz w:val="28"/>
          <w:szCs w:val="28"/>
          <w:shd w:val="clear" w:color="auto" w:fill="FFFFFF"/>
        </w:rPr>
        <w:t>第六章</w:t>
      </w:r>
      <w:r>
        <w:rPr>
          <w:rFonts w:hint="eastAsia" w:ascii="黑体" w:hAnsi="黑体" w:eastAsia="黑体" w:cs="黑体"/>
          <w:color w:val="auto"/>
          <w:sz w:val="28"/>
          <w:szCs w:val="28"/>
          <w:shd w:val="clear" w:color="auto" w:fill="FFFFFF"/>
          <w:lang w:val="en-US" w:eastAsia="zh-CN"/>
        </w:rPr>
        <w:t xml:space="preserve">  </w:t>
      </w:r>
      <w:r>
        <w:rPr>
          <w:rFonts w:hint="eastAsia" w:ascii="黑体" w:hAnsi="黑体" w:eastAsia="黑体" w:cs="黑体"/>
          <w:color w:val="auto"/>
          <w:sz w:val="28"/>
          <w:szCs w:val="28"/>
          <w:shd w:val="clear" w:color="auto" w:fill="FFFFFF"/>
        </w:rPr>
        <w:t>争议的解决</w:t>
      </w:r>
    </w:p>
    <w:p>
      <w:pPr>
        <w:keepNext w:val="0"/>
        <w:keepLines w:val="0"/>
        <w:pageBreakBefore w:val="0"/>
        <w:kinsoku/>
        <w:wordWrap/>
        <w:overflowPunct/>
        <w:topLinePunct w:val="0"/>
        <w:autoSpaceDE/>
        <w:autoSpaceDN/>
        <w:bidi w:val="0"/>
        <w:adjustRightInd/>
        <w:snapToGrid/>
        <w:spacing w:line="440" w:lineRule="exact"/>
        <w:textAlignment w:val="auto"/>
        <w:rPr>
          <w:rStyle w:val="11"/>
          <w:rFonts w:hint="eastAsia" w:ascii="仿宋_GB2312" w:hAnsi="仿宋_GB2312" w:eastAsia="仿宋_GB2312" w:cs="仿宋_GB2312"/>
          <w:color w:val="auto"/>
          <w:sz w:val="24"/>
          <w:szCs w:val="24"/>
          <w:shd w:val="clear" w:color="auto" w:fill="FFFFFF"/>
          <w:lang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第三十九条 消费者和经营者发生消费者权益争议的，可以通过下列途径解决：</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（一）与经营者协商和解；</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（二）请求消费者协会或者依法成立的其他调解组织调解；</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（三）向有关行政部门投诉；</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（四）根据与经营者达成的仲裁协议提请仲裁机构仲裁；</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（五）向人民法院提起诉讼。</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第四十条 消费者在购买、使用商品时，其合法权益受到损害的，可以向销售者要求赔偿。销售者赔偿后，属于生产者的责任或者属于向销售者提供商品的其他销售者的责任的，销售者有权向生产者或者其他销售者追偿。</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消费者或者其他受害人因商品缺陷造成人身、财产损害的，可以向销售者要求赔偿，也可以向生产者要求赔偿。属于生产者责任的，销售者赔偿后，有权向生产者追偿。属于销售者责任的，生产者赔偿后，有权向销售者追偿。</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消费者在接受服务时，其合法权益受到损害的，可以向服务者要求赔偿。</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第四十一条 消费者在购买、使用商品或者接受服务时，其合法权益受到损害，因原企业分立、合并的，可以向变更后承受其权利义务的企业要求赔偿。</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第四十二条 使用他人营业执照的违法经营者提供商品或者服务，损害消费者合法权益的，消费者可以向其要求赔偿，也可以向营业执照的持有人要求赔偿。</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第四十三条 消费者在展销会、租赁柜台购买商品或者接受服务，其合法权益受到损害的，可以向销售者或者服务者要求赔偿。展销会结束或者柜台租赁期满后，也可以向展销会的举办者、柜台的出租者要求赔偿。展销会的举办者、柜台的出租者赔偿后，有权向销售者或者服务者追偿。</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第四十四条 消费者通过网络交易平台购买商品或者接受服务，其合法权益受到损害的，可以向销售者或者服务者要求赔偿。网络交易平台提供者不能提供销售者或者服务者的真实名称、地址和有效联系方式的，消费者也可以向网络交易平台提供者要求赔偿；网络交易平台提供者作出更有利于消费者的承诺的，应当履行承诺。网络交易平台提供者赔偿后，有权向销售者或者服务者追偿。</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网络交易平台提供者明知或者应知销售者或者服务者利用其平台侵害消费者合法权益，未采取必要措施的，依法与该销售者或者服务者承担连带责任。</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第四十五条 消费者因经营者利用虚假广告或者其他虚假宣传方式提供商品或者服务，其合法权益受到损害的，可以向经营者要求赔偿。广告经营者、发布者发布虚假广告的，消费者可以请求行政主管部门予以惩处。广告经营者、发布者不能提供经营者的真实名称、地址和有效联系方式的，应当承担赔偿责任。</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广告经营者、发布者设计、制作、发布关系消费者生命健康商品或者服务的虚假广告，造成消费者损害的，应当与提供该商品或者服务的经营者承担连带责任。</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社会团体或者其他组织、个人在关系消费者生命健康商品或者服务的虚假广告或者其他虚假宣传中  向消费者推荐商品或者服务，造成消费者损害的，应当与提供该商品或者服务的经营者承担连带责任。</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第四十六条 消费者向有关行政部门投诉的，该部门应当自收到投诉之日起七个工作日内，予以处理并告知消费者。</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第四十七条 对侵害众多消费者合法权益的行为，中国消费者协会以及在省、自治区、直辖市设立的消费者协会，可以向人民法院提起诉讼。</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p>
    <w:p>
      <w:pPr>
        <w:keepNext w:val="0"/>
        <w:keepLines w:val="0"/>
        <w:pageBreakBefore w:val="0"/>
        <w:kinsoku/>
        <w:wordWrap/>
        <w:overflowPunct/>
        <w:topLinePunct w:val="0"/>
        <w:autoSpaceDE/>
        <w:autoSpaceDN/>
        <w:bidi w:val="0"/>
        <w:adjustRightInd/>
        <w:snapToGrid/>
        <w:spacing w:line="440" w:lineRule="exact"/>
        <w:jc w:val="center"/>
        <w:textAlignment w:val="auto"/>
        <w:rPr>
          <w:rStyle w:val="11"/>
          <w:rFonts w:hint="eastAsia" w:ascii="黑体" w:hAnsi="黑体" w:eastAsia="黑体" w:cs="黑体"/>
          <w:color w:val="auto"/>
          <w:sz w:val="28"/>
          <w:szCs w:val="28"/>
          <w:shd w:val="clear" w:color="auto" w:fill="FFFFFF"/>
        </w:rPr>
      </w:pPr>
      <w:r>
        <w:rPr>
          <w:rFonts w:hint="eastAsia" w:ascii="黑体" w:hAnsi="黑体" w:eastAsia="黑体" w:cs="黑体"/>
          <w:color w:val="auto"/>
          <w:sz w:val="28"/>
          <w:szCs w:val="28"/>
          <w:shd w:val="clear" w:color="auto" w:fill="FFFFFF"/>
        </w:rPr>
        <w:t>第七章</w:t>
      </w:r>
      <w:r>
        <w:rPr>
          <w:rFonts w:hint="eastAsia" w:ascii="黑体" w:hAnsi="黑体" w:eastAsia="黑体" w:cs="黑体"/>
          <w:color w:val="auto"/>
          <w:sz w:val="28"/>
          <w:szCs w:val="28"/>
          <w:shd w:val="clear" w:color="auto" w:fill="FFFFFF"/>
          <w:lang w:val="en-US" w:eastAsia="zh-CN"/>
        </w:rPr>
        <w:t xml:space="preserve">  </w:t>
      </w:r>
      <w:r>
        <w:rPr>
          <w:rFonts w:hint="eastAsia" w:ascii="黑体" w:hAnsi="黑体" w:eastAsia="黑体" w:cs="黑体"/>
          <w:color w:val="auto"/>
          <w:sz w:val="28"/>
          <w:szCs w:val="28"/>
          <w:shd w:val="clear" w:color="auto" w:fill="FFFFFF"/>
        </w:rPr>
        <w:t>法律责任</w:t>
      </w:r>
    </w:p>
    <w:p>
      <w:pPr>
        <w:keepNext w:val="0"/>
        <w:keepLines w:val="0"/>
        <w:pageBreakBefore w:val="0"/>
        <w:kinsoku/>
        <w:wordWrap/>
        <w:overflowPunct/>
        <w:topLinePunct w:val="0"/>
        <w:autoSpaceDE/>
        <w:autoSpaceDN/>
        <w:bidi w:val="0"/>
        <w:adjustRightInd/>
        <w:snapToGrid/>
        <w:spacing w:line="440" w:lineRule="exact"/>
        <w:textAlignment w:val="auto"/>
        <w:rPr>
          <w:rStyle w:val="11"/>
          <w:rFonts w:hint="eastAsia" w:ascii="仿宋_GB2312" w:hAnsi="仿宋_GB2312" w:eastAsia="仿宋_GB2312" w:cs="仿宋_GB2312"/>
          <w:color w:val="auto"/>
          <w:sz w:val="24"/>
          <w:szCs w:val="24"/>
          <w:shd w:val="clear" w:color="auto" w:fill="FFFFFF"/>
          <w:lang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第四十八条 经营者提供商品或者服务有下列情形之一的，除本法另有规定外，应当依照其他有关法律、法规的规定，承担民事责任：</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（一）商品或者服务存在缺陷的；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（二）不具备商品应当具备的使用性能而出售时未作说明的；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（三）不符合在商品或者其包装上注明采用的商品标准的；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（四）不符合商品说明、实物样品等方式表明的质量状况的；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（五）生产国家明令淘汰的商品或者销售失效、变质的商品的；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（六）销售的商品数量不足的；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（七）服务的内容和费用违反约定的；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（八）对消费者提出的修理、重作、更换、退货、补足商品数量、退还货款和服务费用或者赔偿损失的要求，故意拖延或者无理拒绝的；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（九）法律、法规规定的其他损害消费者权益的情形。</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经营者对消费者未尽到安全保障义务，造成消费者损害的，应当承担侵权责任。</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第四十九条 经营者提供商品或者服务，造成消费者或者其他受害人人身伤害的，应当赔偿医疗费、护理费、交通费等为治疗和康复支出的合理费用，以及因误工减少的收入。造成残疾的，还应当赔偿残疾生活辅助具费和残疾赔偿金。造成死亡的，还应当赔偿丧葬费和死亡赔偿金。</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第五十条 经营者侵害消费者的人格尊严、侵犯消费者人身自由或者侵害消费者个人信息依法得到保护的权利的，应当停止侵害、恢复名誉、消除影响、赔礼道歉，并赔偿损失。</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第五十一条 经营者有侮辱诽谤、搜查身体、侵犯人身自由等侵害消费者或者其他受害人人身权益的行为，造成严重精神损害的，受害人可以要求精神损害赔偿。</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第五十二条 经营者提供商品或者服务，造成消费者财产损害的，应当依照法律规定或者当事人约定承担修理、重作、更换、退货、补足商品数量、退还货款和服务费用或者赔偿损失等民事责任。</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第五十三条 经营者以预收款方式提供商品或者服务的，应当按照约定提供。未按照约定提供的，应当按照消费者的要求履行约定或者退回预付款；并应当承担预付款的利息、消费者必须支付的合理费用。</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第五十四条 依法经有关行政部门认定为不合格的商品，消费者要求退货的，经营者应当负责退货。</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第五十五条 经营者提供商品或者服务有欺诈行为的，应当按照消费者的要求增加赔偿其受到的损失，增加赔偿的金额为消费者购买商品的价款或者接受服务的费用的三倍；增加赔偿的金额不足五百元的，为五百元。法律另有规定的，依照其规定。</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（一）提供的商品或者服务不符合保障人身、财产安全要求的；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（二）在商品中掺杂、掺假，以假充真，以次充好，或者以不合格商品冒充合格商品的；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（三）生产国家明令淘汰的商品或者销售失效、变质的商品的；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（四）伪造商品的产地，伪造或者冒用他人的厂名、厂址，篡改生产日期，伪造或者冒用认证标志等质量标志的；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（五）销售的商品应当检验、检疫而未检验、检疫或者伪造检验、检疫结果的；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（六）对商品或者服务作虚假或者引人误解的宣传的；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（七）拒绝或者拖延有关行政部门责令对缺陷商品或者服务采取停止销售、警示、召回、无害化处理、销毁、停止生产或者服务等措施的；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（八）对消费者提出的修理、重作、更换、退货、补足商品数量、退还货款和服务费用或者赔偿损失的要求，故意拖延或者无理拒绝的；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（九）侵害消费者人格尊严、侵犯消费者人身自由或者侵害消费者个人信息依法得到保护的权利的；</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（十）法律、法规规定的对损害消费者权益应当予以处罚的其他情形。</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经营者有前款规定情形的，除依照法律、法规规定予以处罚外，处罚机关应当记入信用档案，向社会公布。</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第五十七条 经营者违反本法规定提供商品或者服务，侵害消费者合法权益，构成犯罪的，依法追究刑事责任。</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第五十八条 经营者违反本法规定，应当承担民事赔偿责任和缴纳罚款、罚金，其财产不足以同时支付的，先承担民事赔偿责任。</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第五十九条 经营者对行政处罚决定不服的，可以依法申请行政复议或者提起行政诉讼。</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第六十条 以暴力、威胁等方法阻碍有关行政部门工作人员依法执行职务的，依法追究刑事责任；拒绝、阻碍有关行政部门工作人员依法执行职务，未使用暴力、威胁方法的，由公安机关依照《中华人民共和国治安管理处罚法》的规定处罚。</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第六十一条 国家机关工作人员玩忽职守或者包庇经营者侵害消费者合法权益的行为的，由其所在单位或者上级机关给予行政处分；情节严重，构成犯罪的，依法追究刑事责任。</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p>
    <w:p>
      <w:pPr>
        <w:keepNext w:val="0"/>
        <w:keepLines w:val="0"/>
        <w:pageBreakBefore w:val="0"/>
        <w:kinsoku/>
        <w:wordWrap/>
        <w:overflowPunct/>
        <w:topLinePunct w:val="0"/>
        <w:autoSpaceDE/>
        <w:autoSpaceDN/>
        <w:bidi w:val="0"/>
        <w:adjustRightInd/>
        <w:snapToGrid/>
        <w:spacing w:line="440" w:lineRule="exact"/>
        <w:jc w:val="center"/>
        <w:textAlignment w:val="auto"/>
        <w:rPr>
          <w:rStyle w:val="11"/>
          <w:rFonts w:hint="eastAsia" w:ascii="黑体" w:hAnsi="黑体" w:eastAsia="黑体" w:cs="黑体"/>
          <w:color w:val="auto"/>
          <w:sz w:val="28"/>
          <w:szCs w:val="28"/>
          <w:shd w:val="clear" w:color="auto" w:fill="FFFFFF"/>
        </w:rPr>
      </w:pPr>
      <w:r>
        <w:rPr>
          <w:rFonts w:hint="eastAsia" w:ascii="黑体" w:hAnsi="黑体" w:eastAsia="黑体" w:cs="黑体"/>
          <w:color w:val="auto"/>
          <w:sz w:val="28"/>
          <w:szCs w:val="28"/>
          <w:shd w:val="clear" w:color="auto" w:fill="FFFFFF"/>
        </w:rPr>
        <w:t>第八章</w:t>
      </w:r>
      <w:r>
        <w:rPr>
          <w:rFonts w:hint="eastAsia" w:ascii="黑体" w:hAnsi="黑体" w:eastAsia="黑体" w:cs="黑体"/>
          <w:color w:val="auto"/>
          <w:sz w:val="28"/>
          <w:szCs w:val="28"/>
          <w:shd w:val="clear" w:color="auto" w:fill="FFFFFF"/>
          <w:lang w:val="en-US" w:eastAsia="zh-CN"/>
        </w:rPr>
        <w:t xml:space="preserve">  </w:t>
      </w:r>
      <w:r>
        <w:rPr>
          <w:rFonts w:hint="eastAsia" w:ascii="黑体" w:hAnsi="黑体" w:eastAsia="黑体" w:cs="黑体"/>
          <w:color w:val="auto"/>
          <w:sz w:val="28"/>
          <w:szCs w:val="28"/>
          <w:shd w:val="clear" w:color="auto" w:fill="FFFFFF"/>
        </w:rPr>
        <w:t>附</w:t>
      </w:r>
      <w:r>
        <w:rPr>
          <w:rFonts w:hint="eastAsia" w:ascii="黑体" w:hAnsi="黑体" w:eastAsia="黑体" w:cs="黑体"/>
          <w:color w:val="auto"/>
          <w:sz w:val="28"/>
          <w:szCs w:val="28"/>
          <w:shd w:val="clear" w:color="auto" w:fill="FFFFFF"/>
          <w:lang w:val="en-US" w:eastAsia="zh-CN"/>
        </w:rPr>
        <w:t xml:space="preserve">  </w:t>
      </w:r>
      <w:r>
        <w:rPr>
          <w:rFonts w:hint="eastAsia" w:ascii="黑体" w:hAnsi="黑体" w:eastAsia="黑体" w:cs="黑体"/>
          <w:color w:val="auto"/>
          <w:sz w:val="28"/>
          <w:szCs w:val="28"/>
          <w:shd w:val="clear" w:color="auto" w:fill="FFFFFF"/>
        </w:rPr>
        <w:t>则</w:t>
      </w:r>
    </w:p>
    <w:p>
      <w:pPr>
        <w:keepNext w:val="0"/>
        <w:keepLines w:val="0"/>
        <w:pageBreakBefore w:val="0"/>
        <w:kinsoku/>
        <w:wordWrap/>
        <w:overflowPunct/>
        <w:topLinePunct w:val="0"/>
        <w:autoSpaceDE/>
        <w:autoSpaceDN/>
        <w:bidi w:val="0"/>
        <w:adjustRightInd/>
        <w:snapToGrid/>
        <w:spacing w:line="440" w:lineRule="exact"/>
        <w:textAlignment w:val="auto"/>
        <w:rPr>
          <w:rStyle w:val="11"/>
          <w:rFonts w:hint="eastAsia" w:ascii="仿宋_GB2312" w:hAnsi="仿宋_GB2312" w:eastAsia="仿宋_GB2312" w:cs="仿宋_GB2312"/>
          <w:color w:val="auto"/>
          <w:sz w:val="24"/>
          <w:szCs w:val="24"/>
          <w:shd w:val="clear" w:color="auto" w:fill="FFFFFF"/>
          <w:lang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1"/>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第六十二条 农民购买、使用直接用于农业生产的生产资料，参照本法执行。</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shd w:val="clear" w:color="auto" w:fill="FFFFFF"/>
        </w:rPr>
        <w:t>第六十三条 本法自1994年1月1日起施行。</w:t>
      </w:r>
      <w:r>
        <w:rPr>
          <w:rStyle w:val="11"/>
          <w:rFonts w:hint="eastAsia" w:ascii="仿宋_GB2312" w:hAnsi="仿宋_GB2312" w:eastAsia="仿宋_GB2312" w:cs="仿宋_GB2312"/>
          <w:color w:val="auto"/>
          <w:sz w:val="24"/>
          <w:szCs w:val="24"/>
          <w:shd w:val="clear" w:color="auto" w:fill="FFFFFF"/>
        </w:rPr>
        <w:t> </w:t>
      </w:r>
    </w:p>
    <w:p>
      <w:pPr>
        <w:keepNext w:val="0"/>
        <w:keepLines w:val="0"/>
        <w:pageBreakBefore w:val="0"/>
        <w:kinsoku/>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rPr>
      </w:pPr>
    </w:p>
    <w:sectPr>
      <w:footerReference r:id="rId5" w:type="default"/>
      <w:pgSz w:w="8392" w:h="11850" w:orient="landscape"/>
      <w:pgMar w:top="1417" w:right="1417" w:bottom="1417" w:left="1417" w:header="851" w:footer="992" w:gutter="0"/>
      <w:pgNumType w:fmt="numberInDash" w:start="1"/>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bordersDoNotSurroundHeader w:val="1"/>
  <w:bordersDoNotSurroundFooter w:val="1"/>
  <w:documentProtection w:enforcement="0"/>
  <w:defaultTabStop w:val="420"/>
  <w:bookFoldPrinting w:val="1"/>
  <w:bookFoldPrintingSheets w:val="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311"/>
    <w:rsid w:val="00C84311"/>
    <w:rsid w:val="0D3341C1"/>
    <w:rsid w:val="13FA7614"/>
    <w:rsid w:val="17373303"/>
    <w:rsid w:val="1740317D"/>
    <w:rsid w:val="258C6E3F"/>
    <w:rsid w:val="359C41BF"/>
    <w:rsid w:val="3D942F25"/>
    <w:rsid w:val="51BA1266"/>
    <w:rsid w:val="5B1E32C9"/>
    <w:rsid w:val="6106374E"/>
    <w:rsid w:val="70A8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unhideWhenUsed/>
    <w:uiPriority w:val="39"/>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rFonts w:asciiTheme="minorHAnsi" w:hAnsiTheme="minorHAnsi" w:eastAsiaTheme="minorEastAsia" w:cstheme="minorBidi"/>
      <w:b/>
      <w:bCs/>
      <w:kern w:val="2"/>
      <w:sz w:val="21"/>
      <w:szCs w:val="22"/>
      <w:lang w:val="en-US" w:eastAsia="zh-CN" w:bidi="ar-SA"/>
    </w:rPr>
  </w:style>
  <w:style w:type="character" w:customStyle="1" w:styleId="9">
    <w:name w:val="页眉 Char"/>
    <w:basedOn w:val="7"/>
    <w:link w:val="3"/>
    <w:qFormat/>
    <w:uiPriority w:val="99"/>
    <w:rPr>
      <w:rFonts w:asciiTheme="minorHAnsi" w:hAnsiTheme="minorHAnsi" w:eastAsiaTheme="minorEastAsia" w:cstheme="minorBidi"/>
      <w:kern w:val="2"/>
      <w:sz w:val="18"/>
      <w:szCs w:val="18"/>
      <w:lang w:val="en-US" w:eastAsia="zh-CN" w:bidi="ar-SA"/>
    </w:rPr>
  </w:style>
  <w:style w:type="character" w:customStyle="1" w:styleId="10">
    <w:name w:val="页脚 Char"/>
    <w:basedOn w:val="7"/>
    <w:link w:val="2"/>
    <w:qFormat/>
    <w:uiPriority w:val="99"/>
    <w:rPr>
      <w:rFonts w:asciiTheme="minorHAnsi" w:hAnsiTheme="minorHAnsi" w:eastAsiaTheme="minorEastAsia" w:cstheme="minorBidi"/>
      <w:kern w:val="2"/>
      <w:sz w:val="18"/>
      <w:szCs w:val="18"/>
      <w:lang w:val="en-US" w:eastAsia="zh-CN" w:bidi="ar-SA"/>
    </w:rPr>
  </w:style>
  <w:style w:type="character" w:customStyle="1" w:styleId="11">
    <w:name w:val="apple-converted-space"/>
    <w:basedOn w:val="7"/>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1373</Words>
  <Characters>7827</Characters>
  <Lines>65</Lines>
  <Paragraphs>18</Paragraphs>
  <TotalTime>0</TotalTime>
  <ScaleCrop>false</ScaleCrop>
  <LinksUpToDate>false</LinksUpToDate>
  <CharactersWithSpaces>9182</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2019-04-22T02:43:00Z</dcterms:created>
  <dc:creator>李晓婷</dc:creator>
  <cp:lastModifiedBy>缘</cp:lastModifiedBy>
  <dcterms:modified xsi:type="dcterms:W3CDTF">2019-04-23T08:34:05Z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